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88" w:rsidRPr="003C79D0" w:rsidRDefault="00CA50FA" w:rsidP="00CA50FA">
      <w:pPr>
        <w:pStyle w:val="Rubrik"/>
        <w:rPr>
          <w:sz w:val="32"/>
          <w:szCs w:val="32"/>
        </w:rPr>
      </w:pPr>
      <w:r>
        <w:t>E-handelstjänst – Checklista inför avrop</w:t>
      </w:r>
      <w:r w:rsidR="003C79D0">
        <w:t xml:space="preserve"> – version 201</w:t>
      </w:r>
      <w:r w:rsidR="006B27F0">
        <w:t>9</w:t>
      </w:r>
      <w:r w:rsidR="003C79D0">
        <w:t>-</w:t>
      </w:r>
      <w:r w:rsidR="006B27F0">
        <w:t>02</w:t>
      </w:r>
      <w:r w:rsidR="003C79D0">
        <w:t>-</w:t>
      </w:r>
      <w:r w:rsidR="006B27F0">
        <w:t>1</w:t>
      </w:r>
      <w:r w:rsidR="003A33CB">
        <w:t>1</w:t>
      </w:r>
    </w:p>
    <w:p w:rsidR="00D7263A" w:rsidRDefault="00D7263A" w:rsidP="00D7263A">
      <w:r>
        <w:t>Checklistan innehåller ett antal frågeställningar som det kan vara bra att gå igenom inför ett avrop. Det finns också hänvisningar till avropsdokumenten. Fyll gärna på checklistan med egna punkter</w:t>
      </w:r>
      <w:r w:rsidR="003C79D0">
        <w:t xml:space="preserve"> och hör av er till ramavtalsansvarig (se avropa.se) om mallen </w:t>
      </w:r>
      <w:r w:rsidR="00301EB2">
        <w:t>bör</w:t>
      </w:r>
      <w:r w:rsidR="003C79D0">
        <w:t xml:space="preserve"> </w:t>
      </w:r>
      <w:r w:rsidR="00D4581F">
        <w:t>kompletteras.</w:t>
      </w:r>
    </w:p>
    <w:p w:rsidR="006753EA" w:rsidRPr="00D7263A" w:rsidRDefault="006753EA" w:rsidP="00D7263A"/>
    <w:tbl>
      <w:tblPr>
        <w:tblStyle w:val="Tabellrutnt"/>
        <w:tblW w:w="14596" w:type="dxa"/>
        <w:tblLook w:val="04A0" w:firstRow="1" w:lastRow="0" w:firstColumn="1" w:lastColumn="0" w:noHBand="0" w:noVBand="1"/>
      </w:tblPr>
      <w:tblGrid>
        <w:gridCol w:w="500"/>
        <w:gridCol w:w="4983"/>
        <w:gridCol w:w="4576"/>
        <w:gridCol w:w="3261"/>
        <w:gridCol w:w="1276"/>
      </w:tblGrid>
      <w:tr w:rsidR="00CA50FA" w:rsidTr="009C6522">
        <w:trPr>
          <w:tblHeader/>
        </w:trPr>
        <w:tc>
          <w:tcPr>
            <w:tcW w:w="500" w:type="dxa"/>
            <w:shd w:val="clear" w:color="auto" w:fill="F2F2F2" w:themeFill="background1" w:themeFillShade="F2"/>
          </w:tcPr>
          <w:p w:rsidR="00CA50FA" w:rsidRPr="00F61958" w:rsidRDefault="00CA50FA" w:rsidP="00CA50FA">
            <w:pPr>
              <w:rPr>
                <w:b/>
                <w:sz w:val="28"/>
                <w:szCs w:val="28"/>
              </w:rPr>
            </w:pPr>
            <w:r w:rsidRPr="00F61958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CA50FA" w:rsidRPr="00F61958" w:rsidRDefault="001C397E" w:rsidP="00CA50FA">
            <w:pPr>
              <w:rPr>
                <w:b/>
                <w:sz w:val="28"/>
                <w:szCs w:val="28"/>
              </w:rPr>
            </w:pPr>
            <w:r w:rsidRPr="00F61958">
              <w:rPr>
                <w:b/>
                <w:sz w:val="28"/>
                <w:szCs w:val="28"/>
              </w:rPr>
              <w:t>Frågeställning</w:t>
            </w:r>
          </w:p>
        </w:tc>
        <w:tc>
          <w:tcPr>
            <w:tcW w:w="4576" w:type="dxa"/>
            <w:shd w:val="clear" w:color="auto" w:fill="F2F2F2" w:themeFill="background1" w:themeFillShade="F2"/>
          </w:tcPr>
          <w:p w:rsidR="00CA50FA" w:rsidRPr="00F61958" w:rsidRDefault="00301EB2" w:rsidP="00CA50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Avropsdokument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CA50FA" w:rsidRPr="00F61958" w:rsidRDefault="00CA50FA" w:rsidP="00CA50FA">
            <w:pPr>
              <w:rPr>
                <w:b/>
                <w:sz w:val="28"/>
                <w:szCs w:val="28"/>
              </w:rPr>
            </w:pPr>
            <w:r w:rsidRPr="00F61958">
              <w:rPr>
                <w:b/>
                <w:sz w:val="28"/>
                <w:szCs w:val="28"/>
              </w:rPr>
              <w:t>Kommentar</w:t>
            </w:r>
            <w:r w:rsidR="009D0171" w:rsidRPr="00F61958">
              <w:rPr>
                <w:b/>
                <w:sz w:val="28"/>
                <w:szCs w:val="28"/>
              </w:rPr>
              <w:t>/Ansvarig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A50FA" w:rsidRPr="00F61958" w:rsidRDefault="00CA50FA" w:rsidP="00CA50FA">
            <w:pPr>
              <w:rPr>
                <w:b/>
                <w:sz w:val="28"/>
                <w:szCs w:val="28"/>
              </w:rPr>
            </w:pPr>
            <w:r w:rsidRPr="00F61958">
              <w:rPr>
                <w:b/>
                <w:sz w:val="28"/>
                <w:szCs w:val="28"/>
              </w:rPr>
              <w:t>Status</w:t>
            </w:r>
          </w:p>
        </w:tc>
      </w:tr>
      <w:tr w:rsidR="00CA50FA" w:rsidTr="009C6522">
        <w:tc>
          <w:tcPr>
            <w:tcW w:w="500" w:type="dxa"/>
          </w:tcPr>
          <w:p w:rsidR="00CA50FA" w:rsidRDefault="009B2AA1" w:rsidP="00CA50FA">
            <w:r>
              <w:t>1</w:t>
            </w:r>
          </w:p>
        </w:tc>
        <w:tc>
          <w:tcPr>
            <w:tcW w:w="4983" w:type="dxa"/>
          </w:tcPr>
          <w:p w:rsidR="001C397E" w:rsidRPr="001C397E" w:rsidRDefault="001C397E" w:rsidP="001C397E">
            <w:pPr>
              <w:rPr>
                <w:b/>
              </w:rPr>
            </w:pPr>
            <w:r w:rsidRPr="001C397E">
              <w:rPr>
                <w:b/>
              </w:rPr>
              <w:t xml:space="preserve">Vilket är syftet </w:t>
            </w:r>
            <w:r w:rsidR="00A76ECB">
              <w:rPr>
                <w:b/>
              </w:rPr>
              <w:t xml:space="preserve">och målsättningen </w:t>
            </w:r>
            <w:r w:rsidRPr="001C397E">
              <w:rPr>
                <w:b/>
              </w:rPr>
              <w:t>med</w:t>
            </w:r>
            <w:r w:rsidR="00CA50FA" w:rsidRPr="001C397E">
              <w:rPr>
                <w:b/>
              </w:rPr>
              <w:t xml:space="preserve"> avropet? </w:t>
            </w:r>
          </w:p>
          <w:p w:rsidR="00CA50FA" w:rsidRDefault="00A76ECB" w:rsidP="001F4E14">
            <w:r>
              <w:t>Det kan</w:t>
            </w:r>
            <w:r w:rsidR="009C6522">
              <w:t xml:space="preserve"> t</w:t>
            </w:r>
            <w:r w:rsidR="00E63C13">
              <w:t xml:space="preserve">ill exempel </w:t>
            </w:r>
            <w:r w:rsidR="009C6522">
              <w:t xml:space="preserve">vara </w:t>
            </w:r>
            <w:r w:rsidR="00E63C13">
              <w:t>”</w:t>
            </w:r>
            <w:r w:rsidR="00CA50FA">
              <w:t>Att ersätta en nuvarande lösning där kontraktet är på väg att löpa ut</w:t>
            </w:r>
            <w:r w:rsidR="00BE0E34">
              <w:t>”</w:t>
            </w:r>
            <w:r w:rsidR="001F4E14">
              <w:t>,</w:t>
            </w:r>
            <w:r w:rsidR="00CA50FA">
              <w:t xml:space="preserve"> </w:t>
            </w:r>
            <w:r w:rsidR="00BE0E34">
              <w:t>”A</w:t>
            </w:r>
            <w:r w:rsidR="00CA50FA">
              <w:t>tt införa en ny lösning</w:t>
            </w:r>
            <w:r w:rsidR="00BE0E34">
              <w:t xml:space="preserve"> i syfte att effektivisera</w:t>
            </w:r>
            <w:r w:rsidR="00E63C13">
              <w:t>”</w:t>
            </w:r>
            <w:r w:rsidR="001F4E14">
              <w:t xml:space="preserve"> eller ”Uppfylla lagkravet om e-faktura”.</w:t>
            </w:r>
          </w:p>
        </w:tc>
        <w:tc>
          <w:tcPr>
            <w:tcW w:w="4576" w:type="dxa"/>
          </w:tcPr>
          <w:p w:rsidR="00DE62F8" w:rsidRDefault="00CA50FA" w:rsidP="007657E2">
            <w:r>
              <w:t>Ett kort</w:t>
            </w:r>
            <w:r w:rsidR="00E63C13">
              <w:t>fattat</w:t>
            </w:r>
            <w:r>
              <w:t xml:space="preserve"> syfte </w:t>
            </w:r>
            <w:r w:rsidR="00A76ECB">
              <w:t xml:space="preserve">och målsättning </w:t>
            </w:r>
            <w:r>
              <w:t xml:space="preserve">för avropet bör anges i </w:t>
            </w:r>
          </w:p>
          <w:p w:rsidR="00CA50FA" w:rsidRDefault="00CA50FA" w:rsidP="00DE62F8">
            <w:pPr>
              <w:pStyle w:val="Liststycke"/>
              <w:numPr>
                <w:ilvl w:val="0"/>
                <w:numId w:val="6"/>
              </w:numPr>
            </w:pPr>
            <w:r w:rsidRPr="00DE62F8">
              <w:rPr>
                <w:i/>
              </w:rPr>
              <w:t>Avropsförfrågan</w:t>
            </w:r>
            <w:r w:rsidR="00B2592B" w:rsidRPr="00DE62F8">
              <w:rPr>
                <w:i/>
              </w:rPr>
              <w:t xml:space="preserve"> </w:t>
            </w:r>
            <w:r w:rsidR="00B2592B">
              <w:t xml:space="preserve">under rubriken </w:t>
            </w:r>
            <w:r w:rsidR="007657E2" w:rsidRPr="00DE62F8">
              <w:rPr>
                <w:i/>
              </w:rPr>
              <w:t>Information om avropet</w:t>
            </w:r>
            <w:r w:rsidR="007657E2">
              <w:t>.</w:t>
            </w:r>
            <w:r>
              <w:t xml:space="preserve"> </w:t>
            </w:r>
          </w:p>
        </w:tc>
        <w:tc>
          <w:tcPr>
            <w:tcW w:w="3261" w:type="dxa"/>
          </w:tcPr>
          <w:p w:rsidR="00CA50FA" w:rsidRDefault="005E2AE9" w:rsidP="00CA50FA">
            <w:r w:rsidRPr="005E2AE9">
              <w:rPr>
                <w:highlight w:val="lightGray"/>
              </w:rPr>
              <w:t>Egen anteckning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A50FA" w:rsidRDefault="005E2AE9" w:rsidP="00CA50FA">
            <w:r>
              <w:rPr>
                <w:highlight w:val="lightGray"/>
              </w:rPr>
              <w:t xml:space="preserve">T.ex. </w:t>
            </w:r>
            <w:proofErr w:type="gramStart"/>
            <w:r w:rsidR="009B2AA1" w:rsidRPr="009D0171">
              <w:rPr>
                <w:highlight w:val="lightGray"/>
              </w:rPr>
              <w:t>Ej</w:t>
            </w:r>
            <w:proofErr w:type="gramEnd"/>
            <w:r w:rsidR="009B2AA1" w:rsidRPr="009D0171">
              <w:rPr>
                <w:highlight w:val="lightGray"/>
              </w:rPr>
              <w:t xml:space="preserve"> påbörjad/ Pågår/ Klar</w:t>
            </w:r>
          </w:p>
        </w:tc>
      </w:tr>
      <w:tr w:rsidR="008871A8" w:rsidTr="009C6522">
        <w:tc>
          <w:tcPr>
            <w:tcW w:w="500" w:type="dxa"/>
          </w:tcPr>
          <w:p w:rsidR="008871A8" w:rsidRDefault="008871A8" w:rsidP="008871A8">
            <w:r>
              <w:t>2</w:t>
            </w:r>
          </w:p>
        </w:tc>
        <w:tc>
          <w:tcPr>
            <w:tcW w:w="4983" w:type="dxa"/>
          </w:tcPr>
          <w:p w:rsidR="008871A8" w:rsidRPr="00F61958" w:rsidRDefault="008871A8" w:rsidP="008871A8">
            <w:pPr>
              <w:rPr>
                <w:b/>
              </w:rPr>
            </w:pPr>
            <w:r w:rsidRPr="00F61958">
              <w:rPr>
                <w:b/>
              </w:rPr>
              <w:t>H</w:t>
            </w:r>
            <w:r>
              <w:rPr>
                <w:b/>
              </w:rPr>
              <w:t>ur länge</w:t>
            </w:r>
            <w:r w:rsidRPr="00F61958">
              <w:rPr>
                <w:b/>
              </w:rPr>
              <w:t xml:space="preserve"> </w:t>
            </w:r>
            <w:r>
              <w:rPr>
                <w:b/>
              </w:rPr>
              <w:t xml:space="preserve">ska </w:t>
            </w:r>
            <w:r w:rsidRPr="00F61958">
              <w:rPr>
                <w:b/>
              </w:rPr>
              <w:t>vårt kontrakt ska gälla?</w:t>
            </w:r>
          </w:p>
          <w:p w:rsidR="008871A8" w:rsidRDefault="00BA7047" w:rsidP="008871A8">
            <w:r>
              <w:t>K</w:t>
            </w:r>
            <w:r w:rsidR="008871A8">
              <w:t>ontrakt</w:t>
            </w:r>
            <w:r w:rsidR="00562CF5">
              <w:t>et</w:t>
            </w:r>
            <w:r w:rsidR="008871A8">
              <w:t xml:space="preserve"> </w:t>
            </w:r>
            <w:r>
              <w:t>gälla i</w:t>
            </w:r>
            <w:r w:rsidR="008871A8">
              <w:t xml:space="preserve"> </w:t>
            </w:r>
            <w:r w:rsidR="00562CF5">
              <w:t xml:space="preserve">minst </w:t>
            </w:r>
            <w:r w:rsidR="008871A8">
              <w:t>2 år</w:t>
            </w:r>
            <w:r>
              <w:t>. Det kan sedan</w:t>
            </w:r>
            <w:r w:rsidR="008871A8">
              <w:t xml:space="preserve"> förlängas med ett år i taget. Ramavtalsleverantören har rätt säga upp kontraktet</w:t>
            </w:r>
            <w:r>
              <w:t xml:space="preserve"> efter 8 år</w:t>
            </w:r>
            <w:r w:rsidR="008871A8">
              <w:t xml:space="preserve">. </w:t>
            </w:r>
          </w:p>
          <w:p w:rsidR="008871A8" w:rsidRDefault="008871A8" w:rsidP="008871A8"/>
          <w:p w:rsidR="008871A8" w:rsidRDefault="008871A8" w:rsidP="008871A8">
            <w:r>
              <w:t>Priset i utvärderingen baseras på de totala kostnaderna under kontrakt</w:t>
            </w:r>
            <w:r w:rsidR="001F4E14">
              <w:t>ets giltighetstid</w:t>
            </w:r>
            <w:r>
              <w:t xml:space="preserve">. De kostnader som uppstår vid </w:t>
            </w:r>
            <w:r w:rsidR="001F4E14">
              <w:t xml:space="preserve">eventuella </w:t>
            </w:r>
            <w:r>
              <w:t xml:space="preserve">förlängningar ingår inte. </w:t>
            </w:r>
          </w:p>
          <w:p w:rsidR="008871A8" w:rsidRDefault="008871A8" w:rsidP="008871A8"/>
          <w:p w:rsidR="008871A8" w:rsidRDefault="001F4E14" w:rsidP="001F4E14">
            <w:r>
              <w:t>Kontraktets giltighetstid</w:t>
            </w:r>
            <w:r w:rsidR="008871A8">
              <w:t xml:space="preserve"> kan till exempel anpassas till planerade byten av </w:t>
            </w:r>
            <w:proofErr w:type="spellStart"/>
            <w:r w:rsidR="00562CF5">
              <w:t>i</w:t>
            </w:r>
            <w:r w:rsidR="008871A8">
              <w:t>t-stöd</w:t>
            </w:r>
            <w:proofErr w:type="spellEnd"/>
            <w:r w:rsidR="00562CF5">
              <w:t xml:space="preserve"> som är integrerade med E-handelstjänsten</w:t>
            </w:r>
            <w:r w:rsidR="008871A8">
              <w:t>, till exempel Ekonomisystem.</w:t>
            </w:r>
          </w:p>
        </w:tc>
        <w:tc>
          <w:tcPr>
            <w:tcW w:w="4576" w:type="dxa"/>
          </w:tcPr>
          <w:p w:rsidR="00D4581F" w:rsidRDefault="008871A8" w:rsidP="008871A8">
            <w:r>
              <w:t>Kontrakt</w:t>
            </w:r>
            <w:r w:rsidR="00D4581F">
              <w:t>ets giltighetstid</w:t>
            </w:r>
            <w:r>
              <w:t xml:space="preserve"> ska anges i </w:t>
            </w:r>
          </w:p>
          <w:p w:rsidR="00D4581F" w:rsidRDefault="008871A8" w:rsidP="00D4581F">
            <w:pPr>
              <w:pStyle w:val="Liststycke"/>
              <w:numPr>
                <w:ilvl w:val="0"/>
                <w:numId w:val="4"/>
              </w:numPr>
            </w:pPr>
            <w:r w:rsidRPr="00D4581F">
              <w:rPr>
                <w:i/>
              </w:rPr>
              <w:t>Avropsförfrågan</w:t>
            </w:r>
            <w:r>
              <w:t xml:space="preserve"> under rubriken </w:t>
            </w:r>
            <w:r w:rsidRPr="00D4581F">
              <w:rPr>
                <w:i/>
              </w:rPr>
              <w:t>Kontraktsvillko</w:t>
            </w:r>
            <w:r w:rsidR="00562CF5">
              <w:t>r</w:t>
            </w:r>
          </w:p>
          <w:p w:rsidR="008871A8" w:rsidRDefault="00D4581F" w:rsidP="00D4581F">
            <w:pPr>
              <w:pStyle w:val="Liststycke"/>
              <w:numPr>
                <w:ilvl w:val="0"/>
                <w:numId w:val="4"/>
              </w:numPr>
            </w:pPr>
            <w:r>
              <w:t>i</w:t>
            </w:r>
            <w:r w:rsidR="006E53F8">
              <w:t xml:space="preserve"> det slutliga </w:t>
            </w:r>
            <w:r w:rsidR="006E53F8">
              <w:rPr>
                <w:i/>
              </w:rPr>
              <w:t>K</w:t>
            </w:r>
            <w:r w:rsidR="006E53F8" w:rsidRPr="006E53F8">
              <w:rPr>
                <w:i/>
              </w:rPr>
              <w:t>ontraktet</w:t>
            </w:r>
            <w:r w:rsidR="006E53F8">
              <w:t xml:space="preserve"> under punkt 4</w:t>
            </w:r>
          </w:p>
          <w:p w:rsidR="008871A8" w:rsidRDefault="008871A8" w:rsidP="008871A8"/>
          <w:p w:rsidR="006E53F8" w:rsidRDefault="008871A8" w:rsidP="006E53F8">
            <w:r>
              <w:t xml:space="preserve">Antalet </w:t>
            </w:r>
            <w:r w:rsidR="00BA7047">
              <w:t xml:space="preserve">år som </w:t>
            </w:r>
            <w:r>
              <w:t>kontrakt</w:t>
            </w:r>
            <w:r w:rsidR="00BA7047">
              <w:t>et ska gälla</w:t>
            </w:r>
            <w:r>
              <w:t xml:space="preserve"> anges </w:t>
            </w:r>
            <w:r w:rsidR="006E53F8">
              <w:t>i</w:t>
            </w:r>
          </w:p>
          <w:p w:rsidR="008871A8" w:rsidRPr="006E53F8" w:rsidRDefault="008871A8" w:rsidP="006E53F8">
            <w:pPr>
              <w:pStyle w:val="Liststycke"/>
              <w:numPr>
                <w:ilvl w:val="0"/>
                <w:numId w:val="5"/>
              </w:numPr>
              <w:rPr>
                <w:i/>
              </w:rPr>
            </w:pPr>
            <w:r>
              <w:t xml:space="preserve">avropsbilagan </w:t>
            </w:r>
            <w:r w:rsidRPr="006E53F8">
              <w:rPr>
                <w:i/>
              </w:rPr>
              <w:t>Priser i kontrakt</w:t>
            </w:r>
            <w:r>
              <w:t xml:space="preserve"> under rubriken </w:t>
            </w:r>
            <w:r w:rsidR="00DE62F8">
              <w:t xml:space="preserve">2) </w:t>
            </w:r>
            <w:r w:rsidRPr="006E53F8">
              <w:rPr>
                <w:i/>
              </w:rPr>
              <w:t>Avgift för faktiskt nyttjande av tjänsten</w:t>
            </w:r>
            <w:r>
              <w:t xml:space="preserve"> i kolumnen </w:t>
            </w:r>
            <w:r w:rsidRPr="006E53F8">
              <w:rPr>
                <w:i/>
              </w:rPr>
              <w:t>Volym</w:t>
            </w:r>
            <w:r w:rsidR="00BA7047" w:rsidRPr="006E53F8">
              <w:rPr>
                <w:i/>
              </w:rPr>
              <w:t xml:space="preserve"> (</w:t>
            </w:r>
            <w:r w:rsidRPr="006E53F8">
              <w:rPr>
                <w:i/>
              </w:rPr>
              <w:t>före enheten ”År”</w:t>
            </w:r>
            <w:r w:rsidR="00BA7047" w:rsidRPr="006E53F8">
              <w:rPr>
                <w:i/>
              </w:rPr>
              <w:t>)</w:t>
            </w:r>
            <w:r w:rsidRPr="006E53F8">
              <w:rPr>
                <w:i/>
              </w:rPr>
              <w:t xml:space="preserve">. </w:t>
            </w:r>
          </w:p>
          <w:p w:rsidR="008871A8" w:rsidRDefault="008871A8" w:rsidP="008871A8"/>
          <w:p w:rsidR="008871A8" w:rsidRPr="0003788D" w:rsidRDefault="008871A8" w:rsidP="008871A8">
            <w:r>
              <w:t>Se även svar på frågan ”</w:t>
            </w:r>
            <w:r w:rsidRPr="00F74C83">
              <w:rPr>
                <w:i/>
              </w:rPr>
              <w:t>Finns det möjlighet att avropa en egen, alternativ option om förlängning av kontraktets giltighetstid</w:t>
            </w:r>
            <w:r w:rsidRPr="00F74C83">
              <w:t>?</w:t>
            </w:r>
            <w:r>
              <w:t>”</w:t>
            </w:r>
          </w:p>
        </w:tc>
        <w:tc>
          <w:tcPr>
            <w:tcW w:w="3261" w:type="dxa"/>
          </w:tcPr>
          <w:p w:rsidR="008871A8" w:rsidRDefault="008871A8" w:rsidP="008871A8"/>
        </w:tc>
        <w:tc>
          <w:tcPr>
            <w:tcW w:w="1276" w:type="dxa"/>
          </w:tcPr>
          <w:p w:rsidR="008871A8" w:rsidRPr="009D0171" w:rsidRDefault="008871A8" w:rsidP="008871A8">
            <w:pPr>
              <w:rPr>
                <w:highlight w:val="lightGray"/>
              </w:rPr>
            </w:pPr>
          </w:p>
        </w:tc>
      </w:tr>
      <w:tr w:rsidR="008871A8" w:rsidTr="009C6522">
        <w:tc>
          <w:tcPr>
            <w:tcW w:w="500" w:type="dxa"/>
          </w:tcPr>
          <w:p w:rsidR="008871A8" w:rsidRDefault="008871A8" w:rsidP="008871A8">
            <w:r>
              <w:t>3</w:t>
            </w:r>
          </w:p>
        </w:tc>
        <w:tc>
          <w:tcPr>
            <w:tcW w:w="4983" w:type="dxa"/>
          </w:tcPr>
          <w:p w:rsidR="008871A8" w:rsidRPr="001C397E" w:rsidRDefault="008871A8" w:rsidP="008871A8">
            <w:pPr>
              <w:rPr>
                <w:b/>
              </w:rPr>
            </w:pPr>
            <w:r w:rsidRPr="001C397E">
              <w:rPr>
                <w:b/>
              </w:rPr>
              <w:t xml:space="preserve">Vilken kategori </w:t>
            </w:r>
            <w:r>
              <w:rPr>
                <w:b/>
              </w:rPr>
              <w:t xml:space="preserve">för </w:t>
            </w:r>
            <w:r w:rsidRPr="001C397E">
              <w:rPr>
                <w:b/>
              </w:rPr>
              <w:t xml:space="preserve">antal användare tillhör </w:t>
            </w:r>
            <w:r>
              <w:rPr>
                <w:b/>
              </w:rPr>
              <w:t xml:space="preserve">vi? </w:t>
            </w:r>
          </w:p>
          <w:p w:rsidR="00DE62F8" w:rsidRDefault="008871A8" w:rsidP="008871A8">
            <w:r>
              <w:t xml:space="preserve">Antalet användare </w:t>
            </w:r>
            <w:r w:rsidR="00DE62F8">
              <w:t>styr</w:t>
            </w:r>
            <w:r>
              <w:t xml:space="preserve"> ramavtalsleverantörernas takpriser</w:t>
            </w:r>
            <w:r w:rsidR="00DE62F8">
              <w:t xml:space="preserve"> för införandeprojektet samt för den årliga nyttjandeavgiften</w:t>
            </w:r>
            <w:r>
              <w:t>.</w:t>
            </w:r>
            <w:r w:rsidR="00DE62F8">
              <w:t xml:space="preserve"> </w:t>
            </w:r>
          </w:p>
          <w:p w:rsidR="00DE62F8" w:rsidRDefault="00DE62F8" w:rsidP="008871A8"/>
          <w:p w:rsidR="008871A8" w:rsidRDefault="008871A8" w:rsidP="008871A8">
            <w:r>
              <w:t>Kategorierna för en enskild myndighet är följande:</w:t>
            </w:r>
          </w:p>
          <w:p w:rsidR="008871A8" w:rsidRDefault="008871A8" w:rsidP="008871A8">
            <w:r>
              <w:lastRenderedPageBreak/>
              <w:t>1 – Myndighet ≤ 200 Användare</w:t>
            </w:r>
          </w:p>
          <w:p w:rsidR="008871A8" w:rsidRDefault="008871A8" w:rsidP="008871A8">
            <w:r>
              <w:t>2 – Myndighet 201-800 Användare</w:t>
            </w:r>
          </w:p>
          <w:p w:rsidR="008871A8" w:rsidRDefault="008871A8" w:rsidP="008871A8">
            <w:r>
              <w:t>3 – Myndighet 801-1500 Användare</w:t>
            </w:r>
          </w:p>
          <w:p w:rsidR="008871A8" w:rsidRDefault="008871A8" w:rsidP="008871A8">
            <w:r>
              <w:t>4 – Myndighet 1501–4000 Användare</w:t>
            </w:r>
          </w:p>
          <w:p w:rsidR="008871A8" w:rsidRDefault="008871A8" w:rsidP="008871A8">
            <w:r>
              <w:t>5 – Myndighet ≥ 4001 Användare</w:t>
            </w:r>
          </w:p>
        </w:tc>
        <w:tc>
          <w:tcPr>
            <w:tcW w:w="4576" w:type="dxa"/>
          </w:tcPr>
          <w:p w:rsidR="00DE62F8" w:rsidRDefault="008871A8" w:rsidP="008871A8">
            <w:r>
              <w:lastRenderedPageBreak/>
              <w:t>Kategorin för antal användare ska markeras i</w:t>
            </w:r>
          </w:p>
          <w:p w:rsidR="00DE62F8" w:rsidRDefault="008871A8" w:rsidP="00DE62F8">
            <w:pPr>
              <w:pStyle w:val="Liststycke"/>
              <w:numPr>
                <w:ilvl w:val="0"/>
                <w:numId w:val="5"/>
              </w:numPr>
            </w:pPr>
            <w:r>
              <w:t xml:space="preserve">avropsbilagan </w:t>
            </w:r>
            <w:r w:rsidRPr="00DE62F8">
              <w:rPr>
                <w:i/>
              </w:rPr>
              <w:t>Priser i kontrakt</w:t>
            </w:r>
            <w:r w:rsidRPr="00B864F0">
              <w:t xml:space="preserve"> med hjälp av en rullista</w:t>
            </w:r>
            <w:r>
              <w:t xml:space="preserve"> vid rubriken ”Vänligen välj kategori”. </w:t>
            </w:r>
          </w:p>
          <w:p w:rsidR="008871A8" w:rsidRDefault="008871A8" w:rsidP="00DE62F8">
            <w:r>
              <w:lastRenderedPageBreak/>
              <w:t xml:space="preserve">Använd rullistan vid ”Ramavtalsleverantörens namn” för att se </w:t>
            </w:r>
            <w:r w:rsidR="00816081">
              <w:t xml:space="preserve">respektive leverantörs </w:t>
            </w:r>
            <w:r>
              <w:t>takpriser för kategorin.</w:t>
            </w:r>
          </w:p>
          <w:p w:rsidR="00DE62F8" w:rsidRDefault="008871A8" w:rsidP="00DE62F8">
            <w:r>
              <w:t>Beskriv bakgrunden till den valda kategorin i</w:t>
            </w:r>
          </w:p>
          <w:p w:rsidR="00DE62F8" w:rsidRDefault="008871A8" w:rsidP="00DE62F8">
            <w:pPr>
              <w:pStyle w:val="Liststycke"/>
              <w:numPr>
                <w:ilvl w:val="0"/>
                <w:numId w:val="5"/>
              </w:numPr>
            </w:pPr>
            <w:r>
              <w:t xml:space="preserve">avropsbilagan </w:t>
            </w:r>
            <w:r w:rsidRPr="00DE62F8">
              <w:rPr>
                <w:i/>
              </w:rPr>
              <w:t xml:space="preserve">Specifikation av uppdrag, </w:t>
            </w:r>
            <w:r w:rsidRPr="00FF4FF4">
              <w:t>avsnitt 1.2</w:t>
            </w:r>
            <w:r>
              <w:t xml:space="preserve">. </w:t>
            </w:r>
          </w:p>
          <w:p w:rsidR="008871A8" w:rsidRDefault="008871A8" w:rsidP="00175A17">
            <w:r>
              <w:t xml:space="preserve">Se även </w:t>
            </w:r>
            <w:r w:rsidRPr="009649E8">
              <w:rPr>
                <w:i/>
              </w:rPr>
              <w:t>Vägledning för avrop</w:t>
            </w:r>
            <w:r>
              <w:t>, avsnitt 5.2.1. och 5.2.2.</w:t>
            </w:r>
            <w:r w:rsidR="00DE62F8">
              <w:t xml:space="preserve"> </w:t>
            </w:r>
          </w:p>
        </w:tc>
        <w:tc>
          <w:tcPr>
            <w:tcW w:w="3261" w:type="dxa"/>
          </w:tcPr>
          <w:p w:rsidR="008871A8" w:rsidRDefault="008871A8" w:rsidP="008871A8"/>
        </w:tc>
        <w:tc>
          <w:tcPr>
            <w:tcW w:w="1276" w:type="dxa"/>
          </w:tcPr>
          <w:p w:rsidR="008871A8" w:rsidRDefault="008871A8" w:rsidP="008871A8">
            <w:pPr>
              <w:rPr>
                <w:highlight w:val="lightGray"/>
              </w:rPr>
            </w:pPr>
          </w:p>
          <w:p w:rsidR="008871A8" w:rsidRPr="009D0171" w:rsidRDefault="008871A8" w:rsidP="008871A8">
            <w:pPr>
              <w:rPr>
                <w:highlight w:val="lightGray"/>
              </w:rPr>
            </w:pPr>
          </w:p>
        </w:tc>
      </w:tr>
      <w:tr w:rsidR="008871A8" w:rsidTr="009C6522">
        <w:tc>
          <w:tcPr>
            <w:tcW w:w="500" w:type="dxa"/>
          </w:tcPr>
          <w:p w:rsidR="008871A8" w:rsidRDefault="008871A8" w:rsidP="008871A8">
            <w:r>
              <w:t>4</w:t>
            </w:r>
          </w:p>
        </w:tc>
        <w:tc>
          <w:tcPr>
            <w:tcW w:w="4983" w:type="dxa"/>
          </w:tcPr>
          <w:p w:rsidR="008871A8" w:rsidRDefault="008871A8" w:rsidP="008871A8">
            <w:pPr>
              <w:rPr>
                <w:b/>
              </w:rPr>
            </w:pPr>
            <w:r>
              <w:rPr>
                <w:b/>
              </w:rPr>
              <w:t>K</w:t>
            </w:r>
            <w:r w:rsidR="00175A17">
              <w:rPr>
                <w:b/>
              </w:rPr>
              <w:t xml:space="preserve">an </w:t>
            </w:r>
            <w:r>
              <w:rPr>
                <w:b/>
              </w:rPr>
              <w:t>antalet användare förändras</w:t>
            </w:r>
            <w:r w:rsidR="00175A17">
              <w:rPr>
                <w:b/>
              </w:rPr>
              <w:t xml:space="preserve"> framöver</w:t>
            </w:r>
            <w:r w:rsidR="00816081">
              <w:rPr>
                <w:b/>
              </w:rPr>
              <w:t>,</w:t>
            </w:r>
            <w:r>
              <w:rPr>
                <w:b/>
              </w:rPr>
              <w:t xml:space="preserve"> så att vi byter kategori?</w:t>
            </w:r>
          </w:p>
          <w:p w:rsidR="008871A8" w:rsidRPr="009C6522" w:rsidRDefault="008871A8" w:rsidP="008871A8">
            <w:r>
              <w:t xml:space="preserve">Ett byte av användarkategori innebär att leverantören justerar sin fakturering av nyttjandeavgiften i enlighet med den nya kategorin. </w:t>
            </w:r>
          </w:p>
        </w:tc>
        <w:tc>
          <w:tcPr>
            <w:tcW w:w="4576" w:type="dxa"/>
          </w:tcPr>
          <w:p w:rsidR="008871A8" w:rsidRDefault="008871A8" w:rsidP="00175A17">
            <w:r>
              <w:t>Kända ändringar av användar</w:t>
            </w:r>
            <w:r w:rsidR="00175A17">
              <w:t>kategorin</w:t>
            </w:r>
            <w:r>
              <w:t xml:space="preserve"> bör </w:t>
            </w:r>
            <w:r w:rsidR="00175A17">
              <w:t>beskrivas</w:t>
            </w:r>
            <w:r>
              <w:t xml:space="preserve"> i avropet</w:t>
            </w:r>
            <w:r w:rsidR="00175A17">
              <w:t>, se</w:t>
            </w:r>
            <w:r w:rsidR="00816081">
              <w:t xml:space="preserve"> </w:t>
            </w:r>
            <w:r>
              <w:t>svar på frågan ”</w:t>
            </w:r>
            <w:r w:rsidRPr="00FF4FF4">
              <w:rPr>
                <w:i/>
              </w:rPr>
              <w:t>Vad händer om vi blir fler användare än vad vi angav i vårt avrop?</w:t>
            </w:r>
            <w:r>
              <w:t>”</w:t>
            </w:r>
          </w:p>
        </w:tc>
        <w:tc>
          <w:tcPr>
            <w:tcW w:w="3261" w:type="dxa"/>
          </w:tcPr>
          <w:p w:rsidR="008871A8" w:rsidRDefault="008871A8" w:rsidP="008871A8"/>
        </w:tc>
        <w:tc>
          <w:tcPr>
            <w:tcW w:w="1276" w:type="dxa"/>
          </w:tcPr>
          <w:p w:rsidR="008871A8" w:rsidRDefault="008871A8" w:rsidP="008871A8">
            <w:pPr>
              <w:rPr>
                <w:highlight w:val="lightGray"/>
              </w:rPr>
            </w:pPr>
          </w:p>
        </w:tc>
      </w:tr>
      <w:tr w:rsidR="008871A8" w:rsidTr="009C6522">
        <w:tc>
          <w:tcPr>
            <w:tcW w:w="500" w:type="dxa"/>
          </w:tcPr>
          <w:p w:rsidR="008871A8" w:rsidRDefault="00977553" w:rsidP="008871A8">
            <w:r>
              <w:t>5</w:t>
            </w:r>
          </w:p>
        </w:tc>
        <w:tc>
          <w:tcPr>
            <w:tcW w:w="4983" w:type="dxa"/>
          </w:tcPr>
          <w:p w:rsidR="008871A8" w:rsidRDefault="008871A8" w:rsidP="008871A8">
            <w:pPr>
              <w:rPr>
                <w:b/>
              </w:rPr>
            </w:pPr>
            <w:r w:rsidRPr="00C33DFC">
              <w:rPr>
                <w:b/>
              </w:rPr>
              <w:t xml:space="preserve">Vilka system och lösningar </w:t>
            </w:r>
            <w:r w:rsidR="005B128C">
              <w:rPr>
                <w:b/>
              </w:rPr>
              <w:t>vill vi</w:t>
            </w:r>
            <w:r w:rsidRPr="00C33DFC">
              <w:rPr>
                <w:b/>
              </w:rPr>
              <w:t xml:space="preserve"> integrera </w:t>
            </w:r>
            <w:r w:rsidR="005B128C">
              <w:rPr>
                <w:b/>
              </w:rPr>
              <w:t>med E-handelstjänsten</w:t>
            </w:r>
            <w:r w:rsidRPr="00C33DFC">
              <w:rPr>
                <w:b/>
              </w:rPr>
              <w:t>?</w:t>
            </w:r>
          </w:p>
          <w:p w:rsidR="008871A8" w:rsidRPr="00CD62DC" w:rsidRDefault="00335748" w:rsidP="008871A8">
            <w:r>
              <w:t xml:space="preserve">Innan E-handelstjänsten tas i drift behöver den sannolikt integreras med </w:t>
            </w:r>
            <w:r w:rsidR="008871A8">
              <w:t>ekonomisystem</w:t>
            </w:r>
            <w:r>
              <w:t>et</w:t>
            </w:r>
            <w:r w:rsidR="008871A8">
              <w:t xml:space="preserve"> samt </w:t>
            </w:r>
            <w:r>
              <w:t xml:space="preserve">med </w:t>
            </w:r>
            <w:r w:rsidR="008871A8">
              <w:t xml:space="preserve">en eventuell </w:t>
            </w:r>
            <w:proofErr w:type="spellStart"/>
            <w:r w:rsidR="008871A8">
              <w:t>skanningtjänst</w:t>
            </w:r>
            <w:proofErr w:type="spellEnd"/>
            <w:r>
              <w:t>.</w:t>
            </w:r>
          </w:p>
          <w:p w:rsidR="008871A8" w:rsidRDefault="008871A8" w:rsidP="008871A8"/>
        </w:tc>
        <w:tc>
          <w:tcPr>
            <w:tcW w:w="4576" w:type="dxa"/>
          </w:tcPr>
          <w:p w:rsidR="00335748" w:rsidRDefault="005B128C" w:rsidP="005B128C">
            <w:r>
              <w:t>Beskriv</w:t>
            </w:r>
            <w:r w:rsidR="008871A8">
              <w:t xml:space="preserve"> de aktuella systemen </w:t>
            </w:r>
            <w:r w:rsidR="00816081">
              <w:t xml:space="preserve">i </w:t>
            </w:r>
          </w:p>
          <w:p w:rsidR="00335748" w:rsidRDefault="008871A8" w:rsidP="00335748">
            <w:pPr>
              <w:pStyle w:val="Liststycke"/>
              <w:numPr>
                <w:ilvl w:val="0"/>
                <w:numId w:val="5"/>
              </w:numPr>
            </w:pPr>
            <w:r>
              <w:t xml:space="preserve">avropsbilagan </w:t>
            </w:r>
            <w:r w:rsidRPr="00335748">
              <w:rPr>
                <w:i/>
              </w:rPr>
              <w:t xml:space="preserve">Specifikation av uppdrag </w:t>
            </w:r>
            <w:r>
              <w:t>under rubriken</w:t>
            </w:r>
            <w:r w:rsidR="000813FD">
              <w:t xml:space="preserve"> 1.3</w:t>
            </w:r>
            <w:r>
              <w:t xml:space="preserve"> </w:t>
            </w:r>
            <w:r w:rsidRPr="00335748">
              <w:rPr>
                <w:i/>
              </w:rPr>
              <w:t>Optioner</w:t>
            </w:r>
            <w:r>
              <w:t xml:space="preserve"> samt </w:t>
            </w:r>
          </w:p>
          <w:p w:rsidR="00335748" w:rsidRDefault="005B128C" w:rsidP="00335748">
            <w:pPr>
              <w:pStyle w:val="Liststycke"/>
              <w:numPr>
                <w:ilvl w:val="0"/>
                <w:numId w:val="5"/>
              </w:numPr>
            </w:pPr>
            <w:r>
              <w:t xml:space="preserve">ange dem </w:t>
            </w:r>
            <w:r w:rsidR="008871A8">
              <w:t xml:space="preserve">i </w:t>
            </w:r>
            <w:r w:rsidR="00335748">
              <w:t xml:space="preserve">mallen </w:t>
            </w:r>
            <w:r w:rsidR="008871A8" w:rsidRPr="00335748">
              <w:rPr>
                <w:i/>
              </w:rPr>
              <w:t>Priser i kontrakt</w:t>
            </w:r>
            <w:r w:rsidR="008871A8">
              <w:t xml:space="preserve">. </w:t>
            </w:r>
          </w:p>
          <w:p w:rsidR="008871A8" w:rsidRPr="00B2592B" w:rsidRDefault="008871A8" w:rsidP="00335748">
            <w:r>
              <w:t xml:space="preserve">För </w:t>
            </w:r>
            <w:r w:rsidR="00335748">
              <w:t xml:space="preserve">de </w:t>
            </w:r>
            <w:r>
              <w:t>vanliga</w:t>
            </w:r>
            <w:r w:rsidR="00335748">
              <w:t>ste</w:t>
            </w:r>
            <w:r>
              <w:t xml:space="preserve"> integrationer</w:t>
            </w:r>
            <w:r w:rsidR="00335748">
              <w:t>na</w:t>
            </w:r>
            <w:r>
              <w:t xml:space="preserve"> finns det takpris för uppsättning (engångskostnad) och årligt underhåll. Ange antalet år som integrationen ska underhållas, till exempel samma antal som </w:t>
            </w:r>
            <w:r w:rsidR="00562CF5">
              <w:t>år som kontraktet ska gälla.</w:t>
            </w:r>
          </w:p>
        </w:tc>
        <w:tc>
          <w:tcPr>
            <w:tcW w:w="3261" w:type="dxa"/>
          </w:tcPr>
          <w:p w:rsidR="008871A8" w:rsidRDefault="008871A8" w:rsidP="008871A8"/>
        </w:tc>
        <w:tc>
          <w:tcPr>
            <w:tcW w:w="1276" w:type="dxa"/>
          </w:tcPr>
          <w:p w:rsidR="008871A8" w:rsidRPr="009D0171" w:rsidRDefault="008871A8" w:rsidP="008871A8">
            <w:pPr>
              <w:rPr>
                <w:highlight w:val="lightGray"/>
              </w:rPr>
            </w:pPr>
          </w:p>
        </w:tc>
      </w:tr>
      <w:tr w:rsidR="008871A8" w:rsidTr="009C6522">
        <w:tc>
          <w:tcPr>
            <w:tcW w:w="500" w:type="dxa"/>
          </w:tcPr>
          <w:p w:rsidR="008871A8" w:rsidRDefault="00977553" w:rsidP="008871A8">
            <w:r>
              <w:t>6</w:t>
            </w:r>
          </w:p>
        </w:tc>
        <w:tc>
          <w:tcPr>
            <w:tcW w:w="4983" w:type="dxa"/>
          </w:tcPr>
          <w:p w:rsidR="008871A8" w:rsidRPr="001709DE" w:rsidRDefault="00F75BF8" w:rsidP="008871A8">
            <w:pPr>
              <w:rPr>
                <w:b/>
              </w:rPr>
            </w:pPr>
            <w:r>
              <w:rPr>
                <w:b/>
              </w:rPr>
              <w:t>Vilka system eller</w:t>
            </w:r>
            <w:r w:rsidR="008871A8" w:rsidRPr="001709DE">
              <w:rPr>
                <w:b/>
              </w:rPr>
              <w:t xml:space="preserve"> lösningar </w:t>
            </w:r>
            <w:r w:rsidR="005B128C">
              <w:rPr>
                <w:b/>
              </w:rPr>
              <w:t>funderar vi på att</w:t>
            </w:r>
            <w:r w:rsidR="008871A8" w:rsidRPr="001709DE">
              <w:rPr>
                <w:b/>
              </w:rPr>
              <w:t xml:space="preserve"> integrera framöver?</w:t>
            </w:r>
          </w:p>
          <w:p w:rsidR="00977553" w:rsidRDefault="008871A8" w:rsidP="00F75BF8">
            <w:r>
              <w:t>Framtida integrationer kan handla om helt nya system</w:t>
            </w:r>
            <w:r w:rsidR="00816081">
              <w:t xml:space="preserve"> som ska anskaffas</w:t>
            </w:r>
            <w:r>
              <w:t xml:space="preserve">, till exempel beslutsstöd. </w:t>
            </w:r>
          </w:p>
          <w:p w:rsidR="00977553" w:rsidRDefault="00977553" w:rsidP="00F75BF8"/>
          <w:p w:rsidR="008871A8" w:rsidRDefault="008871A8" w:rsidP="00977553">
            <w:r>
              <w:t xml:space="preserve">Det kan också </w:t>
            </w:r>
            <w:r w:rsidR="00977553">
              <w:t>finnas</w:t>
            </w:r>
            <w:r>
              <w:t xml:space="preserve"> integrationer som behöver göras som vid nyanskaffningar av andra system, till exempel om a</w:t>
            </w:r>
            <w:r w:rsidR="00A732A8">
              <w:t>vtalet för ekonomisystem går ut.</w:t>
            </w:r>
          </w:p>
        </w:tc>
        <w:tc>
          <w:tcPr>
            <w:tcW w:w="4576" w:type="dxa"/>
          </w:tcPr>
          <w:p w:rsidR="00E85C7B" w:rsidRDefault="00816081" w:rsidP="00E85C7B">
            <w:r>
              <w:t xml:space="preserve">Kostnaden för </w:t>
            </w:r>
            <w:r w:rsidR="00E85C7B">
              <w:t xml:space="preserve">framtida </w:t>
            </w:r>
            <w:r>
              <w:t>integratione</w:t>
            </w:r>
            <w:r w:rsidR="00E85C7B">
              <w:t>r</w:t>
            </w:r>
            <w:r>
              <w:t xml:space="preserve"> bör också konkurrensutsättas. </w:t>
            </w:r>
            <w:r w:rsidR="005B128C">
              <w:t xml:space="preserve">Beskriv era planer </w:t>
            </w:r>
            <w:r w:rsidR="00E85C7B">
              <w:t xml:space="preserve">på integrationer </w:t>
            </w:r>
            <w:r w:rsidR="005B128C">
              <w:t>i</w:t>
            </w:r>
          </w:p>
          <w:p w:rsidR="00E85C7B" w:rsidRPr="00E85C7B" w:rsidRDefault="008871A8" w:rsidP="00E85C7B">
            <w:pPr>
              <w:pStyle w:val="Liststycke"/>
              <w:numPr>
                <w:ilvl w:val="0"/>
                <w:numId w:val="7"/>
              </w:numPr>
            </w:pPr>
            <w:r>
              <w:t xml:space="preserve">avropsbilagan </w:t>
            </w:r>
            <w:r w:rsidRPr="00E85C7B">
              <w:rPr>
                <w:i/>
              </w:rPr>
              <w:t>Specifikation av uppdrag</w:t>
            </w:r>
            <w:r w:rsidR="00E85C7B">
              <w:rPr>
                <w:i/>
              </w:rPr>
              <w:t xml:space="preserve"> </w:t>
            </w:r>
            <w:r w:rsidR="00E85C7B" w:rsidRPr="00E85C7B">
              <w:t xml:space="preserve">samt </w:t>
            </w:r>
          </w:p>
          <w:p w:rsidR="00E85C7B" w:rsidRPr="00E85C7B" w:rsidRDefault="00E85C7B" w:rsidP="00E85C7B">
            <w:pPr>
              <w:pStyle w:val="Liststycke"/>
              <w:numPr>
                <w:ilvl w:val="0"/>
                <w:numId w:val="7"/>
              </w:numPr>
            </w:pPr>
            <w:r w:rsidRPr="00E85C7B">
              <w:t xml:space="preserve">ange dem </w:t>
            </w:r>
            <w:r>
              <w:t>mallen</w:t>
            </w:r>
            <w:r w:rsidR="008871A8" w:rsidRPr="00E85C7B">
              <w:rPr>
                <w:i/>
              </w:rPr>
              <w:t xml:space="preserve"> Priser i kontrakt</w:t>
            </w:r>
            <w:r w:rsidRPr="00E85C7B">
              <w:rPr>
                <w:i/>
              </w:rPr>
              <w:t xml:space="preserve">. </w:t>
            </w:r>
          </w:p>
          <w:p w:rsidR="006B27F0" w:rsidRDefault="006B27F0" w:rsidP="00E85C7B"/>
          <w:p w:rsidR="008871A8" w:rsidRPr="00B2592B" w:rsidRDefault="00E85C7B" w:rsidP="00E85C7B">
            <w:r>
              <w:t xml:space="preserve">Om det inte redan finns takpriser för den planerade integrationen kan </w:t>
            </w:r>
            <w:r w:rsidRPr="00E85C7B">
              <w:rPr>
                <w:i/>
              </w:rPr>
              <w:t>Priser i kontrakt</w:t>
            </w:r>
            <w:r>
              <w:t xml:space="preserve"> </w:t>
            </w:r>
            <w:r w:rsidR="005B128C">
              <w:t>behöva kompletteras med rubriker</w:t>
            </w:r>
            <w:r>
              <w:t xml:space="preserve"> (rader)</w:t>
            </w:r>
            <w:r w:rsidR="008871A8">
              <w:t xml:space="preserve"> för </w:t>
            </w:r>
            <w:r w:rsidR="008871A8">
              <w:lastRenderedPageBreak/>
              <w:t xml:space="preserve">uppsättning och årligt underhåll. Antalet år </w:t>
            </w:r>
            <w:r>
              <w:t xml:space="preserve">som ska anges </w:t>
            </w:r>
            <w:r w:rsidR="00977553">
              <w:t xml:space="preserve">för underhållet </w:t>
            </w:r>
            <w:r w:rsidR="008871A8">
              <w:t>beror på när ni beräknar komma igång med integrationen.</w:t>
            </w:r>
          </w:p>
        </w:tc>
        <w:tc>
          <w:tcPr>
            <w:tcW w:w="3261" w:type="dxa"/>
          </w:tcPr>
          <w:p w:rsidR="008871A8" w:rsidRDefault="008871A8" w:rsidP="008871A8"/>
        </w:tc>
        <w:tc>
          <w:tcPr>
            <w:tcW w:w="1276" w:type="dxa"/>
          </w:tcPr>
          <w:p w:rsidR="008871A8" w:rsidRPr="009D0171" w:rsidRDefault="008871A8" w:rsidP="008871A8">
            <w:pPr>
              <w:rPr>
                <w:highlight w:val="lightGray"/>
              </w:rPr>
            </w:pPr>
          </w:p>
        </w:tc>
      </w:tr>
      <w:tr w:rsidR="00956360" w:rsidTr="009C6522">
        <w:tc>
          <w:tcPr>
            <w:tcW w:w="500" w:type="dxa"/>
          </w:tcPr>
          <w:p w:rsidR="00956360" w:rsidRDefault="00A20698" w:rsidP="008871A8">
            <w:r>
              <w:t>7</w:t>
            </w:r>
          </w:p>
        </w:tc>
        <w:tc>
          <w:tcPr>
            <w:tcW w:w="4983" w:type="dxa"/>
          </w:tcPr>
          <w:p w:rsidR="00956360" w:rsidRDefault="00956360" w:rsidP="008871A8">
            <w:pPr>
              <w:rPr>
                <w:b/>
              </w:rPr>
            </w:pPr>
            <w:r>
              <w:rPr>
                <w:b/>
              </w:rPr>
              <w:t>Har vi uppskattat vårt behov av Partsuppsättningar?</w:t>
            </w:r>
          </w:p>
          <w:p w:rsidR="00816081" w:rsidRDefault="00B86692" w:rsidP="00956360">
            <w:r>
              <w:t xml:space="preserve">En partsuppsättning är en unik teknisk koppling med en varu-/tjänsteleverantör </w:t>
            </w:r>
            <w:r w:rsidR="00816081">
              <w:t>som</w:t>
            </w:r>
            <w:r>
              <w:t xml:space="preserve"> syft</w:t>
            </w:r>
            <w:r w:rsidR="00816081">
              <w:t>ar till</w:t>
            </w:r>
            <w:r>
              <w:t xml:space="preserve"> att skicka och ta emot e-handelsmeddelanden</w:t>
            </w:r>
            <w:r w:rsidR="00816081">
              <w:t xml:space="preserve"> (kataloger, order, fakturor med mera)</w:t>
            </w:r>
            <w:r>
              <w:t xml:space="preserve">. </w:t>
            </w:r>
          </w:p>
          <w:p w:rsidR="004664A2" w:rsidRDefault="004664A2" w:rsidP="00956360"/>
          <w:p w:rsidR="004664A2" w:rsidRDefault="004664A2" w:rsidP="00956360">
            <w:r>
              <w:t xml:space="preserve">Meddelandeflöden via PEPPOL, </w:t>
            </w:r>
            <w:r w:rsidRPr="00B86692">
              <w:t xml:space="preserve">Leverantörsportalen, order via e-post och Excelkataloger ingår i </w:t>
            </w:r>
            <w:r>
              <w:t xml:space="preserve">avgiften för </w:t>
            </w:r>
            <w:r w:rsidRPr="00B86692">
              <w:t>nyttjandet av E-handelstjänsten</w:t>
            </w:r>
            <w:r>
              <w:t>,</w:t>
            </w:r>
            <w:r w:rsidRPr="00B86692">
              <w:t xml:space="preserve"> medan</w:t>
            </w:r>
            <w:r w:rsidRPr="00816081">
              <w:t xml:space="preserve"> Partsuppsättning innebär en extra kostnad.</w:t>
            </w:r>
          </w:p>
          <w:p w:rsidR="00816081" w:rsidRDefault="00816081" w:rsidP="00956360"/>
          <w:p w:rsidR="00956360" w:rsidRPr="0000784F" w:rsidRDefault="00B86692" w:rsidP="00956360">
            <w:r>
              <w:t>Det finns takpriser för Partsuppsättningar. Priserna indelas i kategorier som grundas på antalet meddelanden per år</w:t>
            </w:r>
            <w:r w:rsidR="00676312">
              <w:t xml:space="preserve"> som skickas och tas emot med en viss </w:t>
            </w:r>
            <w:r>
              <w:t>leverantör. K</w:t>
            </w:r>
            <w:r w:rsidR="00956360" w:rsidRPr="0000784F">
              <w:t>ategorierna är följande</w:t>
            </w:r>
            <w:r w:rsidR="00956360">
              <w:t xml:space="preserve">: </w:t>
            </w:r>
          </w:p>
          <w:p w:rsidR="00956360" w:rsidRPr="0000784F" w:rsidRDefault="00956360" w:rsidP="00956360">
            <w:r w:rsidRPr="0000784F">
              <w:t xml:space="preserve"> </w:t>
            </w:r>
          </w:p>
          <w:p w:rsidR="00956360" w:rsidRPr="0000784F" w:rsidRDefault="00956360" w:rsidP="00956360">
            <w:pPr>
              <w:pStyle w:val="Punktlista"/>
            </w:pPr>
            <w:r w:rsidRPr="0000784F">
              <w:t>1: inklusive ≤ 200 meddelanden per år</w:t>
            </w:r>
          </w:p>
          <w:p w:rsidR="00956360" w:rsidRPr="0000784F" w:rsidRDefault="00956360" w:rsidP="00956360">
            <w:pPr>
              <w:pStyle w:val="Punktlista"/>
            </w:pPr>
            <w:r w:rsidRPr="0000784F">
              <w:t>2: inklusive 201-800 meddelanden per år</w:t>
            </w:r>
          </w:p>
          <w:p w:rsidR="00956360" w:rsidRPr="0000784F" w:rsidRDefault="00956360" w:rsidP="00956360">
            <w:pPr>
              <w:pStyle w:val="Punktlista"/>
            </w:pPr>
            <w:r w:rsidRPr="0000784F">
              <w:t>3: inklusive 801-3000 meddelanden per år</w:t>
            </w:r>
          </w:p>
          <w:p w:rsidR="00956360" w:rsidRPr="0000784F" w:rsidRDefault="00956360" w:rsidP="00956360">
            <w:pPr>
              <w:pStyle w:val="Punktlista"/>
            </w:pPr>
            <w:r w:rsidRPr="0000784F">
              <w:t>4: inklusive 3001-8000 meddelanden per år</w:t>
            </w:r>
          </w:p>
          <w:p w:rsidR="00B86692" w:rsidRDefault="00956360" w:rsidP="004664A2">
            <w:pPr>
              <w:pStyle w:val="Punktlista"/>
              <w:rPr>
                <w:b/>
              </w:rPr>
            </w:pPr>
            <w:r w:rsidRPr="0000784F">
              <w:t>5: inklusive ≥ 8000 meddelanden per år</w:t>
            </w:r>
          </w:p>
        </w:tc>
        <w:tc>
          <w:tcPr>
            <w:tcW w:w="4576" w:type="dxa"/>
          </w:tcPr>
          <w:p w:rsidR="00676312" w:rsidRDefault="00816081" w:rsidP="00676312">
            <w:r>
              <w:t>V</w:t>
            </w:r>
            <w:r w:rsidR="00B86692">
              <w:t>olym</w:t>
            </w:r>
            <w:r>
              <w:t xml:space="preserve">en för </w:t>
            </w:r>
            <w:r w:rsidR="00B86692">
              <w:t xml:space="preserve">varje kategori </w:t>
            </w:r>
            <w:r w:rsidR="003274C1">
              <w:t xml:space="preserve">i optionen </w:t>
            </w:r>
            <w:r>
              <w:t>Partsuppsättning</w:t>
            </w:r>
            <w:r w:rsidR="00B86692">
              <w:t xml:space="preserve"> ska anges i </w:t>
            </w:r>
          </w:p>
          <w:p w:rsidR="00676312" w:rsidRDefault="00676312" w:rsidP="00676312">
            <w:pPr>
              <w:pStyle w:val="Liststycke"/>
              <w:numPr>
                <w:ilvl w:val="0"/>
                <w:numId w:val="8"/>
              </w:numPr>
              <w:rPr>
                <w:i/>
              </w:rPr>
            </w:pPr>
            <w:r w:rsidRPr="00676312">
              <w:rPr>
                <w:i/>
              </w:rPr>
              <w:t>Mallen Priser i kontrakt</w:t>
            </w:r>
            <w:r>
              <w:rPr>
                <w:i/>
              </w:rPr>
              <w:t>.</w:t>
            </w:r>
          </w:p>
          <w:p w:rsidR="00676312" w:rsidRDefault="00676312" w:rsidP="00676312">
            <w:r>
              <w:t xml:space="preserve">Mallen </w:t>
            </w:r>
            <w:r w:rsidRPr="00676312">
              <w:rPr>
                <w:i/>
              </w:rPr>
              <w:t>Beräkning av Partsuppsättningar</w:t>
            </w:r>
            <w:r w:rsidR="004664A2">
              <w:t xml:space="preserve"> kan ge ett stöd för volymuppskattningen.</w:t>
            </w:r>
          </w:p>
          <w:p w:rsidR="00676312" w:rsidRDefault="00676312" w:rsidP="00676312"/>
          <w:p w:rsidR="00676312" w:rsidRDefault="00676312" w:rsidP="00676312">
            <w:r w:rsidRPr="00676312">
              <w:t xml:space="preserve">Bakgrunden till </w:t>
            </w:r>
            <w:r>
              <w:t xml:space="preserve">den uppskattade </w:t>
            </w:r>
            <w:r w:rsidRPr="00676312">
              <w:t>volymen ska också beskrivas i</w:t>
            </w:r>
          </w:p>
          <w:p w:rsidR="00676312" w:rsidRPr="00676312" w:rsidRDefault="00676312" w:rsidP="00676312">
            <w:pPr>
              <w:pStyle w:val="Liststycke"/>
              <w:numPr>
                <w:ilvl w:val="0"/>
                <w:numId w:val="8"/>
              </w:numPr>
            </w:pPr>
            <w:r>
              <w:t xml:space="preserve">avropsbilagan </w:t>
            </w:r>
            <w:r w:rsidRPr="004664A2">
              <w:rPr>
                <w:i/>
              </w:rPr>
              <w:t>Specifikation av uppdrag</w:t>
            </w:r>
            <w:r>
              <w:t>, avsnitt 1.3.2</w:t>
            </w:r>
          </w:p>
          <w:p w:rsidR="00676312" w:rsidRPr="005B128C" w:rsidRDefault="00676312" w:rsidP="00676312">
            <w:pPr>
              <w:rPr>
                <w:i/>
              </w:rPr>
            </w:pPr>
            <w:r>
              <w:t xml:space="preserve">Se </w:t>
            </w:r>
            <w:r w:rsidRPr="009649E8">
              <w:rPr>
                <w:i/>
              </w:rPr>
              <w:t>Vägledning för avrop</w:t>
            </w:r>
            <w:r>
              <w:t>, avsnitt 5.2.3 samt svar på frågan ”</w:t>
            </w:r>
            <w:r w:rsidRPr="005B128C">
              <w:rPr>
                <w:i/>
              </w:rPr>
              <w:t xml:space="preserve"> Hur flyttar vi över våra nuvarande leverantörsanslutningar, våra partsuppsättningar av e-faktura och e-handel med olika leverantörer, till E-handelstjänsten?</w:t>
            </w:r>
            <w:r>
              <w:rPr>
                <w:i/>
              </w:rPr>
              <w:t xml:space="preserve">” </w:t>
            </w:r>
          </w:p>
          <w:p w:rsidR="00676312" w:rsidRDefault="00676312" w:rsidP="00B86692"/>
          <w:p w:rsidR="00B86692" w:rsidRDefault="004664A2" w:rsidP="004664A2">
            <w:r>
              <w:t xml:space="preserve">Tänk på att </w:t>
            </w:r>
            <w:r w:rsidR="00B86692">
              <w:t xml:space="preserve">inte </w:t>
            </w:r>
            <w:r>
              <w:t xml:space="preserve">ange </w:t>
            </w:r>
            <w:r w:rsidR="00B86692">
              <w:t>en för hög volym</w:t>
            </w:r>
            <w:r>
              <w:t>!</w:t>
            </w:r>
            <w:r w:rsidR="00B86692">
              <w:t xml:space="preserve"> Om ni byter leverantör för ett avtal efter till exempel två år kanske den nya leverantören kan hantera e-handel via PEPPOL. </w:t>
            </w:r>
          </w:p>
        </w:tc>
        <w:tc>
          <w:tcPr>
            <w:tcW w:w="3261" w:type="dxa"/>
          </w:tcPr>
          <w:p w:rsidR="00956360" w:rsidRDefault="00956360" w:rsidP="008871A8"/>
        </w:tc>
        <w:tc>
          <w:tcPr>
            <w:tcW w:w="1276" w:type="dxa"/>
          </w:tcPr>
          <w:p w:rsidR="00956360" w:rsidRPr="009D0171" w:rsidRDefault="00956360" w:rsidP="008871A8">
            <w:pPr>
              <w:rPr>
                <w:highlight w:val="lightGray"/>
              </w:rPr>
            </w:pPr>
          </w:p>
        </w:tc>
      </w:tr>
      <w:tr w:rsidR="00977553" w:rsidTr="009C6522">
        <w:tc>
          <w:tcPr>
            <w:tcW w:w="500" w:type="dxa"/>
          </w:tcPr>
          <w:p w:rsidR="00977553" w:rsidRDefault="00A20698" w:rsidP="00977553">
            <w:r>
              <w:t>8</w:t>
            </w:r>
          </w:p>
        </w:tc>
        <w:tc>
          <w:tcPr>
            <w:tcW w:w="4983" w:type="dxa"/>
          </w:tcPr>
          <w:p w:rsidR="00977553" w:rsidRPr="0039704A" w:rsidRDefault="0039704A" w:rsidP="00977553">
            <w:pPr>
              <w:rPr>
                <w:b/>
              </w:rPr>
            </w:pPr>
            <w:r w:rsidRPr="0039704A">
              <w:rPr>
                <w:b/>
              </w:rPr>
              <w:t>Har vi säkerställt att vi har resurser för leveranskontrollen?</w:t>
            </w:r>
          </w:p>
          <w:p w:rsidR="006753EA" w:rsidRDefault="007F3679" w:rsidP="009560A3">
            <w:r>
              <w:t xml:space="preserve">Leveransen av E-handelstjänsten ska kontrolleras innan den godkänns. </w:t>
            </w:r>
            <w:r w:rsidR="009560A3">
              <w:t xml:space="preserve"> </w:t>
            </w:r>
          </w:p>
          <w:p w:rsidR="006753EA" w:rsidRDefault="006753EA" w:rsidP="009560A3"/>
          <w:p w:rsidR="0039704A" w:rsidRDefault="007F3679" w:rsidP="009560A3">
            <w:r>
              <w:lastRenderedPageBreak/>
              <w:t xml:space="preserve">Det är viktigt att </w:t>
            </w:r>
            <w:r w:rsidR="00A732A8">
              <w:t xml:space="preserve">internt </w:t>
            </w:r>
            <w:r>
              <w:t>ta</w:t>
            </w:r>
            <w:r w:rsidR="00D1578E">
              <w:t xml:space="preserve"> </w:t>
            </w:r>
            <w:r>
              <w:t xml:space="preserve">resursmässig </w:t>
            </w:r>
            <w:r w:rsidR="00D1578E">
              <w:t>höjd för</w:t>
            </w:r>
            <w:r w:rsidR="009649E8">
              <w:t xml:space="preserve"> att</w:t>
            </w:r>
            <w:r>
              <w:t xml:space="preserve"> kontroll</w:t>
            </w:r>
            <w:r w:rsidR="009649E8">
              <w:t>er</w:t>
            </w:r>
            <w:r>
              <w:t xml:space="preserve"> leveransen</w:t>
            </w:r>
            <w:r w:rsidR="00562CF5">
              <w:t xml:space="preserve"> under </w:t>
            </w:r>
            <w:r w:rsidR="00A67629">
              <w:t xml:space="preserve">den </w:t>
            </w:r>
            <w:r w:rsidR="009649E8">
              <w:t xml:space="preserve">bestämda </w:t>
            </w:r>
            <w:r w:rsidR="00A67629">
              <w:t>period</w:t>
            </w:r>
            <w:r w:rsidR="009649E8">
              <w:t>en</w:t>
            </w:r>
            <w:r>
              <w:t xml:space="preserve"> </w:t>
            </w:r>
            <w:r w:rsidR="00562CF5">
              <w:t xml:space="preserve">Om eventuella rättningar eller justeringar drar ut på tiden kan det </w:t>
            </w:r>
            <w:r w:rsidR="00A67629">
              <w:t xml:space="preserve">också </w:t>
            </w:r>
            <w:r w:rsidR="00562CF5">
              <w:t xml:space="preserve">vara bra att </w:t>
            </w:r>
            <w:r w:rsidR="009649E8">
              <w:t xml:space="preserve">ha </w:t>
            </w:r>
            <w:r w:rsidR="00562CF5">
              <w:t>planera</w:t>
            </w:r>
            <w:r w:rsidR="009649E8">
              <w:t>t</w:t>
            </w:r>
            <w:r w:rsidR="00562CF5">
              <w:t xml:space="preserve"> in marginaler.</w:t>
            </w:r>
            <w:r w:rsidR="009649E8">
              <w:t xml:space="preserve"> </w:t>
            </w:r>
          </w:p>
          <w:p w:rsidR="006B27F0" w:rsidRDefault="006B27F0" w:rsidP="009560A3"/>
          <w:p w:rsidR="006B27F0" w:rsidRDefault="006B27F0" w:rsidP="009560A3">
            <w:r>
              <w:t xml:space="preserve">Se även svar på fråga ” </w:t>
            </w:r>
            <w:r w:rsidRPr="003A33CB">
              <w:rPr>
                <w:i/>
              </w:rPr>
              <w:t>Kan vi kräva en specifik avtalad leveransdag</w:t>
            </w:r>
            <w:r w:rsidRPr="006B27F0">
              <w:t>?</w:t>
            </w:r>
            <w:r>
              <w:t>”</w:t>
            </w:r>
          </w:p>
        </w:tc>
        <w:tc>
          <w:tcPr>
            <w:tcW w:w="4576" w:type="dxa"/>
          </w:tcPr>
          <w:p w:rsidR="00A67629" w:rsidRDefault="00D1578E" w:rsidP="00D1578E">
            <w:r>
              <w:lastRenderedPageBreak/>
              <w:t xml:space="preserve">Ange era önskemål om tidplan för införandeprojektet i </w:t>
            </w:r>
          </w:p>
          <w:p w:rsidR="00A67629" w:rsidRDefault="00D1578E" w:rsidP="00A67629">
            <w:pPr>
              <w:pStyle w:val="Liststycke"/>
              <w:numPr>
                <w:ilvl w:val="0"/>
                <w:numId w:val="8"/>
              </w:numPr>
            </w:pPr>
            <w:r>
              <w:t xml:space="preserve">avropsbilagan </w:t>
            </w:r>
            <w:r w:rsidR="00A67629" w:rsidRPr="00A67629">
              <w:rPr>
                <w:i/>
              </w:rPr>
              <w:t xml:space="preserve">Tid- och projektplan </w:t>
            </w:r>
          </w:p>
          <w:p w:rsidR="00A67629" w:rsidRDefault="00A67629" w:rsidP="00A67629">
            <w:r>
              <w:t xml:space="preserve">Ni kan komma överens med leverantören om att justera </w:t>
            </w:r>
            <w:r w:rsidRPr="00A67629">
              <w:rPr>
                <w:i/>
              </w:rPr>
              <w:t>Tid- och projektplanen</w:t>
            </w:r>
            <w:r>
              <w:t xml:space="preserve"> innan den biläggs med kontraktet.</w:t>
            </w:r>
          </w:p>
          <w:p w:rsidR="00A67629" w:rsidRDefault="00A67629" w:rsidP="00A67629"/>
          <w:p w:rsidR="00A67629" w:rsidRDefault="00D1578E" w:rsidP="00A67629">
            <w:r>
              <w:t xml:space="preserve">Den slutligt avtalade leveransdagen, när E-handelstjänsten ska vara levererad, ska skrivas in i </w:t>
            </w:r>
          </w:p>
          <w:p w:rsidR="00D1578E" w:rsidRDefault="00A67629" w:rsidP="00A67629">
            <w:pPr>
              <w:pStyle w:val="Liststycke"/>
              <w:numPr>
                <w:ilvl w:val="0"/>
                <w:numId w:val="8"/>
              </w:numPr>
            </w:pPr>
            <w:r w:rsidRPr="00A67629">
              <w:rPr>
                <w:i/>
              </w:rPr>
              <w:t>K</w:t>
            </w:r>
            <w:r w:rsidR="00D1578E" w:rsidRPr="00A67629">
              <w:rPr>
                <w:i/>
              </w:rPr>
              <w:t>ontraktet</w:t>
            </w:r>
            <w:r w:rsidR="009649E8">
              <w:t xml:space="preserve"> vid punkt 5</w:t>
            </w:r>
            <w:r w:rsidR="00D1578E">
              <w:t xml:space="preserve">. </w:t>
            </w:r>
          </w:p>
          <w:p w:rsidR="00A67629" w:rsidRDefault="00A67629" w:rsidP="00A67629"/>
          <w:p w:rsidR="00977553" w:rsidRDefault="00D1578E" w:rsidP="00A67629">
            <w:r>
              <w:t xml:space="preserve">I </w:t>
            </w:r>
            <w:r w:rsidR="000A0CCA">
              <w:t xml:space="preserve">Ramavtalsbilaga 11, </w:t>
            </w:r>
            <w:r w:rsidR="000A0CCA" w:rsidRPr="00A67629">
              <w:rPr>
                <w:i/>
              </w:rPr>
              <w:t>Allmänna villkor konsulttjänster</w:t>
            </w:r>
            <w:r w:rsidR="000A0CCA">
              <w:t xml:space="preserve">, </w:t>
            </w:r>
            <w:r>
              <w:t xml:space="preserve">beskrivs </w:t>
            </w:r>
            <w:r w:rsidR="000A0CCA">
              <w:t xml:space="preserve">vad som gäller för leveranskontroll och leveransförsening. </w:t>
            </w:r>
            <w:r>
              <w:t>Det finns en beskrivning av leveransprocessen i</w:t>
            </w:r>
            <w:r w:rsidR="000A0CCA">
              <w:t xml:space="preserve"> </w:t>
            </w:r>
            <w:r w:rsidRPr="00D1578E">
              <w:rPr>
                <w:i/>
              </w:rPr>
              <w:t>Vägledning för avrop</w:t>
            </w:r>
            <w:r>
              <w:t>, avsnitt 8.</w:t>
            </w:r>
          </w:p>
        </w:tc>
        <w:tc>
          <w:tcPr>
            <w:tcW w:w="3261" w:type="dxa"/>
          </w:tcPr>
          <w:p w:rsidR="00977553" w:rsidRDefault="00977553" w:rsidP="00977553"/>
        </w:tc>
        <w:tc>
          <w:tcPr>
            <w:tcW w:w="1276" w:type="dxa"/>
          </w:tcPr>
          <w:p w:rsidR="00977553" w:rsidRPr="009D0171" w:rsidRDefault="00977553" w:rsidP="00977553">
            <w:pPr>
              <w:rPr>
                <w:highlight w:val="lightGray"/>
              </w:rPr>
            </w:pPr>
          </w:p>
        </w:tc>
      </w:tr>
      <w:tr w:rsidR="00A20698" w:rsidTr="009C6522">
        <w:tc>
          <w:tcPr>
            <w:tcW w:w="500" w:type="dxa"/>
          </w:tcPr>
          <w:p w:rsidR="00A20698" w:rsidRDefault="00A20698" w:rsidP="00977553">
            <w:r>
              <w:t>9</w:t>
            </w:r>
          </w:p>
        </w:tc>
        <w:tc>
          <w:tcPr>
            <w:tcW w:w="4983" w:type="dxa"/>
          </w:tcPr>
          <w:p w:rsidR="00FD6C9A" w:rsidRDefault="00FD6C9A" w:rsidP="00977553">
            <w:pPr>
              <w:rPr>
                <w:b/>
              </w:rPr>
            </w:pPr>
            <w:r w:rsidRPr="00FD6C9A">
              <w:rPr>
                <w:b/>
              </w:rPr>
              <w:t>Behöver vi en test- och utbildningsmiljö?</w:t>
            </w:r>
          </w:p>
          <w:p w:rsidR="00FD6C9A" w:rsidRPr="00FD6C9A" w:rsidRDefault="00FD6C9A" w:rsidP="00977553">
            <w:r>
              <w:t>För löpande utbildningsinsatser och för att ha en möjlighet att testa olika uppsättningsalternativ kan det vara bra att ha en särskild test- och utbildningsmiljö.</w:t>
            </w:r>
          </w:p>
        </w:tc>
        <w:tc>
          <w:tcPr>
            <w:tcW w:w="4576" w:type="dxa"/>
          </w:tcPr>
          <w:p w:rsidR="009649E8" w:rsidRDefault="00FD6C9A" w:rsidP="009649E8">
            <w:r>
              <w:t xml:space="preserve">Ange behovet av en test- och utbildningsmiljö i </w:t>
            </w:r>
          </w:p>
          <w:p w:rsidR="009649E8" w:rsidRPr="009649E8" w:rsidRDefault="00FD6C9A" w:rsidP="009649E8">
            <w:pPr>
              <w:pStyle w:val="Liststycke"/>
              <w:numPr>
                <w:ilvl w:val="0"/>
                <w:numId w:val="8"/>
              </w:numPr>
              <w:rPr>
                <w:b/>
              </w:rPr>
            </w:pPr>
            <w:r w:rsidRPr="009649E8">
              <w:rPr>
                <w:i/>
              </w:rPr>
              <w:t>Specifikation av uppdrag</w:t>
            </w:r>
            <w:r>
              <w:t xml:space="preserve"> och </w:t>
            </w:r>
            <w:r w:rsidR="009649E8">
              <w:t>i</w:t>
            </w:r>
          </w:p>
          <w:p w:rsidR="00A20698" w:rsidRPr="009649E8" w:rsidRDefault="009649E8" w:rsidP="009649E8">
            <w:pPr>
              <w:pStyle w:val="Liststycke"/>
              <w:numPr>
                <w:ilvl w:val="0"/>
                <w:numId w:val="8"/>
              </w:numPr>
              <w:rPr>
                <w:b/>
              </w:rPr>
            </w:pPr>
            <w:r>
              <w:t xml:space="preserve">mallen </w:t>
            </w:r>
            <w:r w:rsidR="00FD6C9A" w:rsidRPr="009649E8">
              <w:rPr>
                <w:i/>
              </w:rPr>
              <w:t>Pris</w:t>
            </w:r>
            <w:r>
              <w:rPr>
                <w:i/>
              </w:rPr>
              <w:t>er</w:t>
            </w:r>
            <w:r w:rsidR="00FD6C9A" w:rsidRPr="009649E8">
              <w:rPr>
                <w:i/>
              </w:rPr>
              <w:t xml:space="preserve"> i kontrakt.</w:t>
            </w:r>
          </w:p>
        </w:tc>
        <w:tc>
          <w:tcPr>
            <w:tcW w:w="3261" w:type="dxa"/>
          </w:tcPr>
          <w:p w:rsidR="00A20698" w:rsidRDefault="00A20698" w:rsidP="00977553"/>
        </w:tc>
        <w:tc>
          <w:tcPr>
            <w:tcW w:w="1276" w:type="dxa"/>
          </w:tcPr>
          <w:p w:rsidR="00A20698" w:rsidRPr="009D0171" w:rsidRDefault="00A20698" w:rsidP="00977553">
            <w:pPr>
              <w:rPr>
                <w:highlight w:val="lightGray"/>
              </w:rPr>
            </w:pPr>
          </w:p>
        </w:tc>
      </w:tr>
      <w:tr w:rsidR="00977553" w:rsidTr="009C6522">
        <w:tc>
          <w:tcPr>
            <w:tcW w:w="500" w:type="dxa"/>
          </w:tcPr>
          <w:p w:rsidR="00977553" w:rsidRDefault="005B128C" w:rsidP="00977553">
            <w:r>
              <w:t>10</w:t>
            </w:r>
          </w:p>
        </w:tc>
        <w:tc>
          <w:tcPr>
            <w:tcW w:w="4983" w:type="dxa"/>
          </w:tcPr>
          <w:p w:rsidR="00977553" w:rsidRPr="00FD6C9A" w:rsidRDefault="00FD6C9A" w:rsidP="00977553">
            <w:pPr>
              <w:rPr>
                <w:b/>
              </w:rPr>
            </w:pPr>
            <w:r w:rsidRPr="00FD6C9A">
              <w:rPr>
                <w:b/>
              </w:rPr>
              <w:t>Kommer vi att behöva konsul</w:t>
            </w:r>
            <w:r w:rsidR="00CA3D9D">
              <w:rPr>
                <w:b/>
              </w:rPr>
              <w:t>t</w:t>
            </w:r>
            <w:r w:rsidRPr="00FD6C9A">
              <w:rPr>
                <w:b/>
              </w:rPr>
              <w:t>insatser?</w:t>
            </w:r>
          </w:p>
          <w:p w:rsidR="00FD6C9A" w:rsidRDefault="009649E8" w:rsidP="009649E8">
            <w:r>
              <w:t>S</w:t>
            </w:r>
            <w:r w:rsidR="00FD6C9A">
              <w:t xml:space="preserve">upport och underhåll </w:t>
            </w:r>
            <w:r>
              <w:t>ingår i nyttjandeavgiften för</w:t>
            </w:r>
            <w:r w:rsidR="00FD6C9A">
              <w:t xml:space="preserve"> E-handelstjänsten. Däremot kan det behövas konsultinsatser för att införa </w:t>
            </w:r>
            <w:r>
              <w:t>nyutveckling</w:t>
            </w:r>
            <w:r w:rsidR="006B27F0">
              <w:t>.</w:t>
            </w:r>
            <w:r w:rsidR="00FD6C9A">
              <w:t xml:space="preserve"> </w:t>
            </w:r>
            <w:r w:rsidR="00A732A8">
              <w:t>Det kanske också kommer att finnas ett behov av konsultinsatser för att justera den egna uppsättningen.</w:t>
            </w:r>
          </w:p>
        </w:tc>
        <w:tc>
          <w:tcPr>
            <w:tcW w:w="4576" w:type="dxa"/>
          </w:tcPr>
          <w:p w:rsidR="009649E8" w:rsidRDefault="00FD6C9A" w:rsidP="00FD6C9A">
            <w:r>
              <w:t xml:space="preserve">Ange behovet av konsultinsatser i </w:t>
            </w:r>
          </w:p>
          <w:p w:rsidR="009649E8" w:rsidRDefault="00FD6C9A" w:rsidP="009649E8">
            <w:pPr>
              <w:pStyle w:val="Liststycke"/>
              <w:numPr>
                <w:ilvl w:val="0"/>
                <w:numId w:val="9"/>
              </w:numPr>
            </w:pPr>
            <w:r>
              <w:t xml:space="preserve">Specifikation av uppdrag och </w:t>
            </w:r>
          </w:p>
          <w:p w:rsidR="009649E8" w:rsidRPr="009649E8" w:rsidRDefault="00FD6C9A" w:rsidP="009649E8">
            <w:pPr>
              <w:pStyle w:val="Liststycke"/>
              <w:numPr>
                <w:ilvl w:val="0"/>
                <w:numId w:val="9"/>
              </w:numPr>
            </w:pPr>
            <w:r>
              <w:t xml:space="preserve">ett uppskattat antal timmar i </w:t>
            </w:r>
            <w:r w:rsidRPr="009649E8">
              <w:rPr>
                <w:i/>
              </w:rPr>
              <w:t>Prislista i kontrakt.</w:t>
            </w:r>
            <w:r w:rsidR="00A732A8" w:rsidRPr="009649E8">
              <w:rPr>
                <w:i/>
              </w:rPr>
              <w:t xml:space="preserve"> </w:t>
            </w:r>
          </w:p>
          <w:p w:rsidR="009649E8" w:rsidRPr="009649E8" w:rsidRDefault="009649E8" w:rsidP="009649E8">
            <w:pPr>
              <w:pStyle w:val="Liststycke"/>
            </w:pPr>
          </w:p>
          <w:p w:rsidR="00977553" w:rsidRPr="00B2592B" w:rsidRDefault="00A732A8" w:rsidP="009649E8">
            <w:r w:rsidRPr="00A732A8">
              <w:t xml:space="preserve">Se även </w:t>
            </w:r>
            <w:r>
              <w:t>svar på fråga ”</w:t>
            </w:r>
            <w:r w:rsidRPr="009649E8">
              <w:rPr>
                <w:i/>
              </w:rPr>
              <w:t>Kan vi komplettera med egna krav på vissa funktioner som leverantören har utvecklat efter det att upphandlingen var klar</w:t>
            </w:r>
            <w:r>
              <w:t>”</w:t>
            </w:r>
          </w:p>
        </w:tc>
        <w:tc>
          <w:tcPr>
            <w:tcW w:w="3261" w:type="dxa"/>
          </w:tcPr>
          <w:p w:rsidR="00977553" w:rsidRDefault="00977553" w:rsidP="00977553"/>
        </w:tc>
        <w:tc>
          <w:tcPr>
            <w:tcW w:w="1276" w:type="dxa"/>
          </w:tcPr>
          <w:p w:rsidR="00977553" w:rsidRDefault="00977553" w:rsidP="00977553"/>
        </w:tc>
      </w:tr>
      <w:tr w:rsidR="00A053BF" w:rsidTr="009C6522">
        <w:tc>
          <w:tcPr>
            <w:tcW w:w="500" w:type="dxa"/>
          </w:tcPr>
          <w:p w:rsidR="00A053BF" w:rsidRDefault="0091341D" w:rsidP="00977553">
            <w:r>
              <w:t>11</w:t>
            </w:r>
          </w:p>
          <w:p w:rsidR="00A053BF" w:rsidRDefault="00A053BF" w:rsidP="00977553"/>
          <w:p w:rsidR="00A053BF" w:rsidRDefault="00A053BF" w:rsidP="00977553"/>
          <w:p w:rsidR="00A053BF" w:rsidRDefault="00A053BF" w:rsidP="00977553"/>
          <w:p w:rsidR="00A053BF" w:rsidRDefault="00A053BF" w:rsidP="00977553"/>
          <w:p w:rsidR="00A053BF" w:rsidRDefault="00A053BF" w:rsidP="00977553"/>
          <w:p w:rsidR="00A053BF" w:rsidRDefault="00A053BF" w:rsidP="00977553"/>
          <w:p w:rsidR="00A053BF" w:rsidRDefault="00A053BF" w:rsidP="00977553"/>
          <w:p w:rsidR="00A053BF" w:rsidRDefault="00A053BF" w:rsidP="00977553"/>
        </w:tc>
        <w:tc>
          <w:tcPr>
            <w:tcW w:w="4983" w:type="dxa"/>
          </w:tcPr>
          <w:p w:rsidR="00A053BF" w:rsidRDefault="0091341D" w:rsidP="00977553">
            <w:pPr>
              <w:rPr>
                <w:b/>
              </w:rPr>
            </w:pPr>
            <w:r>
              <w:rPr>
                <w:b/>
              </w:rPr>
              <w:lastRenderedPageBreak/>
              <w:t>Har vi behov av att ändra ett ”bör”-krav till ett ”ska”-krav?</w:t>
            </w:r>
          </w:p>
          <w:p w:rsidR="006B27F0" w:rsidRDefault="004040BB" w:rsidP="009560A3">
            <w:r>
              <w:t>E-handelstjänsten omfattar</w:t>
            </w:r>
            <w:r w:rsidRPr="00340056">
              <w:t xml:space="preserve"> krav, processbeskrivningar och optioner</w:t>
            </w:r>
            <w:r w:rsidR="006B27F0">
              <w:t xml:space="preserve">.  </w:t>
            </w:r>
            <w:r w:rsidR="006B27F0">
              <w:t>Det finns också vissa möjligheter att tillföra krav och precisera optioner samt utforma en egen, övrig option, se</w:t>
            </w:r>
            <w:r w:rsidR="006B27F0" w:rsidRPr="00340056">
              <w:t xml:space="preserve"> svar </w:t>
            </w:r>
            <w:r w:rsidR="006B27F0" w:rsidRPr="00340056">
              <w:lastRenderedPageBreak/>
              <w:t>på fråga ”</w:t>
            </w:r>
            <w:r w:rsidR="006B27F0" w:rsidRPr="008D2F75">
              <w:rPr>
                <w:i/>
              </w:rPr>
              <w:t>Kan vi i vårt avrop ställa egna krav på E-handelstjänsten</w:t>
            </w:r>
            <w:r w:rsidR="006B27F0" w:rsidRPr="00340056">
              <w:t>”?</w:t>
            </w:r>
          </w:p>
          <w:p w:rsidR="006B27F0" w:rsidRDefault="006B27F0" w:rsidP="009560A3"/>
          <w:p w:rsidR="009560A3" w:rsidRDefault="006B27F0" w:rsidP="009560A3">
            <w:r>
              <w:t>I</w:t>
            </w:r>
            <w:r w:rsidR="0091341D">
              <w:t xml:space="preserve"> avropet </w:t>
            </w:r>
            <w:r>
              <w:t xml:space="preserve">går det även att </w:t>
            </w:r>
            <w:r w:rsidR="0091341D">
              <w:t>ändra upp till 10 bör-krav till ska-krav</w:t>
            </w:r>
            <w:r w:rsidR="009560A3">
              <w:t>.</w:t>
            </w:r>
            <w:r w:rsidR="004040BB">
              <w:t xml:space="preserve"> </w:t>
            </w:r>
            <w:r w:rsidR="009560A3">
              <w:t xml:space="preserve">Se vidare svar på fråga </w:t>
            </w:r>
            <w:r w:rsidR="009560A3" w:rsidRPr="009560A3">
              <w:rPr>
                <w:i/>
              </w:rPr>
              <w:t>”I Vägledning för avrop står det att vi ska vara försiktiga med att ändra bör-krav till ska-krav, men hur gör vi i praktiken</w:t>
            </w:r>
            <w:r w:rsidR="009560A3" w:rsidRPr="0091341D">
              <w:t>?</w:t>
            </w:r>
          </w:p>
          <w:p w:rsidR="006B27F0" w:rsidRDefault="006B27F0" w:rsidP="009560A3"/>
          <w:p w:rsidR="004040BB" w:rsidRPr="0091341D" w:rsidRDefault="004040BB"/>
        </w:tc>
        <w:tc>
          <w:tcPr>
            <w:tcW w:w="4576" w:type="dxa"/>
          </w:tcPr>
          <w:p w:rsidR="00A053BF" w:rsidRDefault="0091341D" w:rsidP="00FD6C9A">
            <w:r>
              <w:lastRenderedPageBreak/>
              <w:t>Avropet behöver kompletteras med bilagan</w:t>
            </w:r>
          </w:p>
          <w:p w:rsidR="0091341D" w:rsidRDefault="0091341D" w:rsidP="0091341D">
            <w:pPr>
              <w:pStyle w:val="Liststycke"/>
              <w:numPr>
                <w:ilvl w:val="0"/>
                <w:numId w:val="9"/>
              </w:numPr>
            </w:pPr>
            <w:r>
              <w:t>Ska-krav kompletterade i avropet</w:t>
            </w:r>
          </w:p>
          <w:p w:rsidR="009560A3" w:rsidRDefault="009560A3" w:rsidP="0091341D"/>
          <w:p w:rsidR="0091341D" w:rsidRDefault="0091341D" w:rsidP="0091341D">
            <w:r>
              <w:t>Vid utvärderingen behöver mallen</w:t>
            </w:r>
          </w:p>
          <w:p w:rsidR="009560A3" w:rsidRDefault="0091341D" w:rsidP="009560A3">
            <w:pPr>
              <w:pStyle w:val="Liststycke"/>
              <w:numPr>
                <w:ilvl w:val="0"/>
                <w:numId w:val="9"/>
              </w:numPr>
            </w:pPr>
            <w:r>
              <w:t>Utvärdering förnyad konkurrensutsättning</w:t>
            </w:r>
          </w:p>
          <w:p w:rsidR="009560A3" w:rsidRDefault="009560A3" w:rsidP="009560A3">
            <w:r>
              <w:lastRenderedPageBreak/>
              <w:t>j</w:t>
            </w:r>
            <w:r w:rsidR="0091341D">
              <w:t>usteras med nya värden för maximal börkravspoäng samt börkravsuppfyllnad för respektive leverantör enligt bilagan ”Ska-krav kompletterade i avropet”.</w:t>
            </w:r>
            <w:r>
              <w:t xml:space="preserve">  </w:t>
            </w:r>
          </w:p>
        </w:tc>
        <w:tc>
          <w:tcPr>
            <w:tcW w:w="3261" w:type="dxa"/>
          </w:tcPr>
          <w:p w:rsidR="00A053BF" w:rsidRDefault="00A053BF" w:rsidP="00977553"/>
        </w:tc>
        <w:tc>
          <w:tcPr>
            <w:tcW w:w="1276" w:type="dxa"/>
          </w:tcPr>
          <w:p w:rsidR="00A053BF" w:rsidRDefault="00A053BF" w:rsidP="00977553"/>
        </w:tc>
      </w:tr>
      <w:tr w:rsidR="00977553" w:rsidTr="009C6522">
        <w:tc>
          <w:tcPr>
            <w:tcW w:w="500" w:type="dxa"/>
          </w:tcPr>
          <w:p w:rsidR="00977553" w:rsidRDefault="0091341D" w:rsidP="00977553">
            <w:r>
              <w:t>12</w:t>
            </w:r>
          </w:p>
        </w:tc>
        <w:tc>
          <w:tcPr>
            <w:tcW w:w="4983" w:type="dxa"/>
          </w:tcPr>
          <w:p w:rsidR="00977553" w:rsidRPr="00F73ABC" w:rsidRDefault="000A3D9E" w:rsidP="00977553">
            <w:pPr>
              <w:rPr>
                <w:b/>
              </w:rPr>
            </w:pPr>
            <w:r>
              <w:rPr>
                <w:b/>
              </w:rPr>
              <w:t>Hur gör vi med</w:t>
            </w:r>
            <w:r w:rsidR="00F73ABC" w:rsidRPr="00F73ABC">
              <w:rPr>
                <w:b/>
              </w:rPr>
              <w:t xml:space="preserve"> Personuppgiftsbiträdesavtal</w:t>
            </w:r>
            <w:r>
              <w:rPr>
                <w:b/>
              </w:rPr>
              <w:t>?</w:t>
            </w:r>
          </w:p>
          <w:p w:rsidR="00F73ABC" w:rsidRDefault="00F73ABC" w:rsidP="00754BD0">
            <w:r>
              <w:t>Det kommer att finnas personuppgifter i E-handelstjänsten, till exempel namn på användare</w:t>
            </w:r>
            <w:r w:rsidR="0021592B">
              <w:t xml:space="preserve">. </w:t>
            </w:r>
            <w:r w:rsidR="0001045B">
              <w:t>Det innebär att a</w:t>
            </w:r>
            <w:r>
              <w:t xml:space="preserve">vroparen (Personuppgiftsansvarig) </w:t>
            </w:r>
            <w:r w:rsidR="000A3D9E">
              <w:t xml:space="preserve">behöver </w:t>
            </w:r>
            <w:r>
              <w:t>teckna ett Personuppgiftsbiträdesavtal med leverantören (Personuppgiftsbiträdet).</w:t>
            </w:r>
            <w:r w:rsidR="00C17C41">
              <w:t xml:space="preserve"> </w:t>
            </w:r>
            <w:r w:rsidR="0021592B">
              <w:t>I</w:t>
            </w:r>
            <w:r>
              <w:t>nstruktion</w:t>
            </w:r>
            <w:r w:rsidR="000A3D9E">
              <w:t>en till biträdet</w:t>
            </w:r>
            <w:r w:rsidR="005E789B">
              <w:t xml:space="preserve">, som är en del av avtalet, </w:t>
            </w:r>
            <w:r w:rsidR="0021592B">
              <w:t>bör vara</w:t>
            </w:r>
            <w:r w:rsidR="00754BD0">
              <w:t xml:space="preserve"> </w:t>
            </w:r>
            <w:r>
              <w:t>anpassa</w:t>
            </w:r>
            <w:r w:rsidR="0021592B">
              <w:t>d</w:t>
            </w:r>
            <w:r>
              <w:t xml:space="preserve"> till de</w:t>
            </w:r>
            <w:r w:rsidR="0028185B">
              <w:t xml:space="preserve">n typ av </w:t>
            </w:r>
            <w:r>
              <w:t xml:space="preserve">personuppgifter som behandlas i E-handelstjänsten. </w:t>
            </w:r>
          </w:p>
          <w:p w:rsidR="00DF7C75" w:rsidRDefault="00152879" w:rsidP="00754BD0">
            <w:r>
              <w:t xml:space="preserve">  </w:t>
            </w:r>
          </w:p>
          <w:p w:rsidR="00593E84" w:rsidRDefault="00152879" w:rsidP="00593E84">
            <w:r>
              <w:t xml:space="preserve">Tänk på att ändringar av ett till avropet bifogat Personuppgiftsbiträdesavtal kan komma att anses utgöra en </w:t>
            </w:r>
            <w:r w:rsidR="009560A3">
              <w:t>väsentlig</w:t>
            </w:r>
            <w:r w:rsidR="0021592B">
              <w:t xml:space="preserve"> ändring</w:t>
            </w:r>
            <w:r>
              <w:t xml:space="preserve">. </w:t>
            </w:r>
            <w:r w:rsidR="0021592B">
              <w:t xml:space="preserve">Därför kan det finnas skäl att innan avropet göra en </w:t>
            </w:r>
            <w:proofErr w:type="spellStart"/>
            <w:r w:rsidR="0021592B">
              <w:t>Request</w:t>
            </w:r>
            <w:proofErr w:type="spellEnd"/>
            <w:r w:rsidR="0021592B">
              <w:t xml:space="preserve"> For Information (RFI) med det önskade avtalet.</w:t>
            </w:r>
          </w:p>
          <w:p w:rsidR="00593E84" w:rsidRDefault="00593E84" w:rsidP="00593E84"/>
          <w:p w:rsidR="00593E84" w:rsidRPr="00BC123B" w:rsidRDefault="00593E84" w:rsidP="00593E84">
            <w:r>
              <w:t>Observera att det ytterst är den personuppgiftsansvarige som ansvarar för att reglerna i Dataskyddsförordningen följs.</w:t>
            </w:r>
          </w:p>
        </w:tc>
        <w:tc>
          <w:tcPr>
            <w:tcW w:w="4576" w:type="dxa"/>
          </w:tcPr>
          <w:p w:rsidR="00593E84" w:rsidRDefault="00176AAB" w:rsidP="008E48D7">
            <w:r>
              <w:t xml:space="preserve">Den som inte vill använda en egen avtalsmall kan i stället utgå från </w:t>
            </w:r>
            <w:r w:rsidRPr="008E48D7">
              <w:rPr>
                <w:i/>
              </w:rPr>
              <w:t xml:space="preserve">Statens inköpscentrals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SIC:s</w:t>
            </w:r>
            <w:proofErr w:type="spellEnd"/>
            <w:r>
              <w:rPr>
                <w:i/>
              </w:rPr>
              <w:t xml:space="preserve">) utkast till </w:t>
            </w:r>
            <w:r w:rsidRPr="008E48D7">
              <w:rPr>
                <w:i/>
              </w:rPr>
              <w:t>personuppgiftsbiträdesavtal</w:t>
            </w:r>
            <w:r>
              <w:t xml:space="preserve">, se avropa.se. Det </w:t>
            </w:r>
            <w:r w:rsidRPr="00E061D4">
              <w:t>är utformat med beaktande av kraven i EU:s dataskyddsförordning (EU) 2016/679</w:t>
            </w:r>
            <w:r>
              <w:t xml:space="preserve"> och används i </w:t>
            </w:r>
            <w:proofErr w:type="spellStart"/>
            <w:r>
              <w:t>SIC:s</w:t>
            </w:r>
            <w:proofErr w:type="spellEnd"/>
            <w:r>
              <w:t xml:space="preserve"> ramavtalsupphandlingar</w:t>
            </w:r>
            <w:r w:rsidRPr="0021592B">
              <w:t>.</w:t>
            </w:r>
            <w:r>
              <w:t xml:space="preserve"> Det är också möjligt att i ett avrop tillåta att leverantören bifogar eget standardavtal till anbudet.</w:t>
            </w:r>
          </w:p>
          <w:p w:rsidR="00176AAB" w:rsidRDefault="00176AAB" w:rsidP="008E48D7"/>
          <w:p w:rsidR="0021592B" w:rsidRDefault="008E48D7" w:rsidP="0021592B">
            <w:r w:rsidRPr="0021592B">
              <w:t xml:space="preserve">Mallen </w:t>
            </w:r>
            <w:r w:rsidRPr="0021592B">
              <w:rPr>
                <w:i/>
              </w:rPr>
              <w:t>Instruktion Personuppgiftsbiträdesavtal</w:t>
            </w:r>
            <w:r w:rsidRPr="0021592B">
              <w:t xml:space="preserve"> innehåller </w:t>
            </w:r>
            <w:r w:rsidR="00BF74EC" w:rsidRPr="0021592B">
              <w:t>en instruktionstext</w:t>
            </w:r>
            <w:r w:rsidRPr="0021592B">
              <w:t xml:space="preserve"> som är anpassad för den behandling av personuppgifter som görs i E-handelstjänsten. </w:t>
            </w:r>
            <w:r w:rsidR="00A053BF">
              <w:t>Instruktionst</w:t>
            </w:r>
            <w:r w:rsidR="0001045B" w:rsidRPr="0021592B">
              <w:t>exten kan klippa</w:t>
            </w:r>
            <w:r w:rsidR="0001045B">
              <w:t>s</w:t>
            </w:r>
            <w:r w:rsidR="0001045B" w:rsidRPr="0021592B">
              <w:t xml:space="preserve"> in under avsnitt 1 i </w:t>
            </w:r>
            <w:proofErr w:type="spellStart"/>
            <w:r w:rsidR="0001045B">
              <w:t>SIC:s</w:t>
            </w:r>
            <w:proofErr w:type="spellEnd"/>
            <w:r w:rsidR="0001045B">
              <w:t xml:space="preserve"> utkast eller</w:t>
            </w:r>
            <w:r w:rsidR="00BF74EC" w:rsidRPr="0021592B">
              <w:t xml:space="preserve"> anpassas och användas</w:t>
            </w:r>
            <w:r w:rsidRPr="0021592B">
              <w:t xml:space="preserve"> i avroparens eget </w:t>
            </w:r>
            <w:r w:rsidR="00BF74EC" w:rsidRPr="0021592B">
              <w:t>p</w:t>
            </w:r>
            <w:r w:rsidRPr="0021592B">
              <w:t xml:space="preserve">ersonuppgiftsbiträdesavtal. </w:t>
            </w:r>
          </w:p>
          <w:p w:rsidR="0021592B" w:rsidRPr="00B2592B" w:rsidRDefault="0021592B" w:rsidP="00593E84"/>
        </w:tc>
        <w:tc>
          <w:tcPr>
            <w:tcW w:w="3261" w:type="dxa"/>
          </w:tcPr>
          <w:p w:rsidR="00977553" w:rsidRDefault="00977553" w:rsidP="00977553"/>
        </w:tc>
        <w:tc>
          <w:tcPr>
            <w:tcW w:w="1276" w:type="dxa"/>
          </w:tcPr>
          <w:p w:rsidR="00977553" w:rsidRDefault="00977553" w:rsidP="00977553"/>
        </w:tc>
      </w:tr>
      <w:tr w:rsidR="00977553" w:rsidTr="009C6522">
        <w:tc>
          <w:tcPr>
            <w:tcW w:w="500" w:type="dxa"/>
          </w:tcPr>
          <w:p w:rsidR="00977553" w:rsidRDefault="009560A3" w:rsidP="00977553">
            <w:r>
              <w:t>13</w:t>
            </w:r>
          </w:p>
        </w:tc>
        <w:tc>
          <w:tcPr>
            <w:tcW w:w="4983" w:type="dxa"/>
          </w:tcPr>
          <w:p w:rsidR="00977553" w:rsidRDefault="00FA528C" w:rsidP="00977553">
            <w:pPr>
              <w:rPr>
                <w:b/>
              </w:rPr>
            </w:pPr>
            <w:r w:rsidRPr="00FA528C">
              <w:rPr>
                <w:b/>
              </w:rPr>
              <w:t>Hur är vår strategi för utvärdering av anbud?</w:t>
            </w:r>
          </w:p>
          <w:p w:rsidR="000A544A" w:rsidRDefault="0029526D" w:rsidP="000A544A">
            <w:r>
              <w:t xml:space="preserve">Utvärderingen bygger på anbudsgivarnas </w:t>
            </w:r>
            <w:r w:rsidR="005E3F84" w:rsidRPr="005E3F84">
              <w:t>pris</w:t>
            </w:r>
            <w:r>
              <w:t>er</w:t>
            </w:r>
            <w:r w:rsidR="005E3F84">
              <w:t xml:space="preserve">, </w:t>
            </w:r>
            <w:r>
              <w:t xml:space="preserve">den poäng som de fick för E-handelstjänstens </w:t>
            </w:r>
            <w:r w:rsidR="005E3F84" w:rsidRPr="005E3F84">
              <w:lastRenderedPageBreak/>
              <w:t xml:space="preserve">användbarhet </w:t>
            </w:r>
            <w:r>
              <w:t>ramavtalsupphandlingen samt den poäng de fick för uppfyllda</w:t>
            </w:r>
            <w:r w:rsidR="005E3F84">
              <w:t xml:space="preserve"> </w:t>
            </w:r>
            <w:r w:rsidR="005E3F84" w:rsidRPr="005E3F84">
              <w:t>bör-krav</w:t>
            </w:r>
            <w:r>
              <w:t xml:space="preserve">. </w:t>
            </w:r>
            <w:r w:rsidR="000A544A" w:rsidRPr="005E3F84">
              <w:t xml:space="preserve">Avropsförfrågan ska omfatta information om </w:t>
            </w:r>
            <w:r w:rsidR="000A544A">
              <w:t xml:space="preserve">hur kriterierna kommer att viktas. </w:t>
            </w:r>
          </w:p>
          <w:p w:rsidR="0029526D" w:rsidRDefault="0029526D" w:rsidP="005E3F84"/>
          <w:p w:rsidR="00FA528C" w:rsidRDefault="0029526D" w:rsidP="006753EA">
            <w:r>
              <w:t xml:space="preserve">Som en utgångspunkt för strategin är det möjligt att simulera olika utfall med stöd av mallen </w:t>
            </w:r>
            <w:r w:rsidRPr="00FA528C">
              <w:rPr>
                <w:i/>
              </w:rPr>
              <w:t>Utvärdering förnyad konkurrensutsättning</w:t>
            </w:r>
            <w:r>
              <w:rPr>
                <w:i/>
              </w:rPr>
              <w:t>.</w:t>
            </w:r>
          </w:p>
        </w:tc>
        <w:tc>
          <w:tcPr>
            <w:tcW w:w="4576" w:type="dxa"/>
          </w:tcPr>
          <w:p w:rsidR="005E3F84" w:rsidRDefault="00760135" w:rsidP="00760135">
            <w:r>
              <w:lastRenderedPageBreak/>
              <w:t xml:space="preserve">I </w:t>
            </w:r>
            <w:r w:rsidRPr="00760135">
              <w:rPr>
                <w:i/>
              </w:rPr>
              <w:t>Vägledning för avrop</w:t>
            </w:r>
            <w:r>
              <w:t xml:space="preserve">, avsnitt 7.2 finns en beskrivning av utvärderingsmodellen. </w:t>
            </w:r>
          </w:p>
          <w:p w:rsidR="005E3F84" w:rsidRDefault="005E3F84" w:rsidP="00760135"/>
          <w:p w:rsidR="00977553" w:rsidRDefault="00FA528C" w:rsidP="00760135">
            <w:r>
              <w:lastRenderedPageBreak/>
              <w:t xml:space="preserve">Mallen </w:t>
            </w:r>
            <w:r w:rsidRPr="00FA528C">
              <w:rPr>
                <w:i/>
              </w:rPr>
              <w:t>Utvärdering förnyad konkurrensutsättning</w:t>
            </w:r>
            <w:r>
              <w:rPr>
                <w:i/>
              </w:rPr>
              <w:t xml:space="preserve"> </w:t>
            </w:r>
            <w:r>
              <w:t xml:space="preserve">ger stöd för beräkningarna i utvärderingen. </w:t>
            </w:r>
          </w:p>
          <w:p w:rsidR="0029526D" w:rsidRDefault="0029526D" w:rsidP="00760135"/>
          <w:p w:rsidR="0029526D" w:rsidRPr="00FA528C" w:rsidRDefault="0029526D" w:rsidP="004C27D5">
            <w:r>
              <w:t xml:space="preserve">Observera att de krav som kan tillföras vid avrop, se </w:t>
            </w:r>
            <w:r w:rsidRPr="005E3F84">
              <w:rPr>
                <w:i/>
              </w:rPr>
              <w:t>Vägledning för avrop</w:t>
            </w:r>
            <w:r>
              <w:t xml:space="preserve"> avsnitt 7.3.2 samt </w:t>
            </w:r>
            <w:r w:rsidRPr="0029526D">
              <w:t xml:space="preserve">Ramavtalsbilaga 7: </w:t>
            </w:r>
            <w:r w:rsidRPr="0029526D">
              <w:rPr>
                <w:i/>
              </w:rPr>
              <w:t>Avropsförfarande</w:t>
            </w:r>
            <w:r w:rsidRPr="0029526D">
              <w:t>, avsnitt 1.2,</w:t>
            </w:r>
            <w:r>
              <w:t xml:space="preserve"> </w:t>
            </w:r>
            <w:r w:rsidRPr="005E3F84">
              <w:rPr>
                <w:b/>
              </w:rPr>
              <w:t xml:space="preserve">inte </w:t>
            </w:r>
            <w:r>
              <w:t>kan utvärderas.</w:t>
            </w:r>
          </w:p>
        </w:tc>
        <w:tc>
          <w:tcPr>
            <w:tcW w:w="3261" w:type="dxa"/>
          </w:tcPr>
          <w:p w:rsidR="00977553" w:rsidRDefault="00977553" w:rsidP="00977553"/>
        </w:tc>
        <w:tc>
          <w:tcPr>
            <w:tcW w:w="1276" w:type="dxa"/>
          </w:tcPr>
          <w:p w:rsidR="00977553" w:rsidRDefault="00977553" w:rsidP="00977553"/>
        </w:tc>
      </w:tr>
      <w:tr w:rsidR="00977553" w:rsidTr="009C6522">
        <w:tc>
          <w:tcPr>
            <w:tcW w:w="500" w:type="dxa"/>
          </w:tcPr>
          <w:p w:rsidR="00977553" w:rsidRDefault="009560A3" w:rsidP="00977553">
            <w:r>
              <w:t>14</w:t>
            </w:r>
          </w:p>
        </w:tc>
        <w:tc>
          <w:tcPr>
            <w:tcW w:w="4983" w:type="dxa"/>
          </w:tcPr>
          <w:p w:rsidR="00DE50FB" w:rsidRDefault="009560A3" w:rsidP="00977553">
            <w:r w:rsidRPr="00BC123B">
              <w:rPr>
                <w:highlight w:val="lightGray"/>
              </w:rPr>
              <w:t>Egna punkter</w:t>
            </w:r>
          </w:p>
        </w:tc>
        <w:tc>
          <w:tcPr>
            <w:tcW w:w="4576" w:type="dxa"/>
          </w:tcPr>
          <w:p w:rsidR="00977553" w:rsidRDefault="00977553" w:rsidP="00977553"/>
        </w:tc>
        <w:tc>
          <w:tcPr>
            <w:tcW w:w="3261" w:type="dxa"/>
          </w:tcPr>
          <w:p w:rsidR="00977553" w:rsidRDefault="00977553" w:rsidP="00977553"/>
        </w:tc>
        <w:tc>
          <w:tcPr>
            <w:tcW w:w="1276" w:type="dxa"/>
          </w:tcPr>
          <w:p w:rsidR="00977553" w:rsidRDefault="00977553" w:rsidP="00977553"/>
        </w:tc>
      </w:tr>
      <w:tr w:rsidR="00977553" w:rsidTr="009C6522">
        <w:tc>
          <w:tcPr>
            <w:tcW w:w="500" w:type="dxa"/>
          </w:tcPr>
          <w:p w:rsidR="00977553" w:rsidRDefault="009560A3" w:rsidP="00977553">
            <w:r>
              <w:t>15</w:t>
            </w:r>
          </w:p>
        </w:tc>
        <w:tc>
          <w:tcPr>
            <w:tcW w:w="4983" w:type="dxa"/>
          </w:tcPr>
          <w:p w:rsidR="00977553" w:rsidRDefault="00977553" w:rsidP="00977553"/>
        </w:tc>
        <w:tc>
          <w:tcPr>
            <w:tcW w:w="4576" w:type="dxa"/>
          </w:tcPr>
          <w:p w:rsidR="00977553" w:rsidRDefault="00977553" w:rsidP="00977553"/>
        </w:tc>
        <w:tc>
          <w:tcPr>
            <w:tcW w:w="3261" w:type="dxa"/>
          </w:tcPr>
          <w:p w:rsidR="00977553" w:rsidRDefault="00977553" w:rsidP="00977553"/>
        </w:tc>
        <w:tc>
          <w:tcPr>
            <w:tcW w:w="1276" w:type="dxa"/>
          </w:tcPr>
          <w:p w:rsidR="00977553" w:rsidRDefault="00977553" w:rsidP="00977553"/>
        </w:tc>
      </w:tr>
      <w:tr w:rsidR="00977553" w:rsidTr="009C6522">
        <w:tc>
          <w:tcPr>
            <w:tcW w:w="500" w:type="dxa"/>
          </w:tcPr>
          <w:p w:rsidR="00977553" w:rsidRDefault="009560A3" w:rsidP="00977553">
            <w:r>
              <w:t>16</w:t>
            </w:r>
          </w:p>
        </w:tc>
        <w:tc>
          <w:tcPr>
            <w:tcW w:w="4983" w:type="dxa"/>
          </w:tcPr>
          <w:p w:rsidR="00977553" w:rsidRDefault="00977553" w:rsidP="00977553"/>
        </w:tc>
        <w:tc>
          <w:tcPr>
            <w:tcW w:w="4576" w:type="dxa"/>
          </w:tcPr>
          <w:p w:rsidR="00977553" w:rsidRDefault="00977553" w:rsidP="00977553"/>
        </w:tc>
        <w:tc>
          <w:tcPr>
            <w:tcW w:w="3261" w:type="dxa"/>
          </w:tcPr>
          <w:p w:rsidR="00977553" w:rsidRDefault="00977553" w:rsidP="00977553"/>
        </w:tc>
        <w:tc>
          <w:tcPr>
            <w:tcW w:w="1276" w:type="dxa"/>
          </w:tcPr>
          <w:p w:rsidR="00977553" w:rsidRDefault="00977553" w:rsidP="00977553"/>
        </w:tc>
      </w:tr>
      <w:tr w:rsidR="00977553" w:rsidTr="009C6522">
        <w:tc>
          <w:tcPr>
            <w:tcW w:w="500" w:type="dxa"/>
          </w:tcPr>
          <w:p w:rsidR="00977553" w:rsidRDefault="009560A3" w:rsidP="00977553">
            <w:r>
              <w:t>17</w:t>
            </w:r>
          </w:p>
        </w:tc>
        <w:tc>
          <w:tcPr>
            <w:tcW w:w="4983" w:type="dxa"/>
          </w:tcPr>
          <w:p w:rsidR="00977553" w:rsidRDefault="00977553" w:rsidP="00977553"/>
        </w:tc>
        <w:tc>
          <w:tcPr>
            <w:tcW w:w="4576" w:type="dxa"/>
          </w:tcPr>
          <w:p w:rsidR="00977553" w:rsidRDefault="00977553" w:rsidP="00977553"/>
        </w:tc>
        <w:tc>
          <w:tcPr>
            <w:tcW w:w="3261" w:type="dxa"/>
          </w:tcPr>
          <w:p w:rsidR="00977553" w:rsidRDefault="00977553" w:rsidP="00977553"/>
        </w:tc>
        <w:tc>
          <w:tcPr>
            <w:tcW w:w="1276" w:type="dxa"/>
          </w:tcPr>
          <w:p w:rsidR="00977553" w:rsidRDefault="00977553" w:rsidP="00977553"/>
        </w:tc>
      </w:tr>
      <w:tr w:rsidR="00977553" w:rsidTr="009C6522">
        <w:tc>
          <w:tcPr>
            <w:tcW w:w="500" w:type="dxa"/>
          </w:tcPr>
          <w:p w:rsidR="00977553" w:rsidRDefault="009560A3" w:rsidP="00977553">
            <w:r>
              <w:t>18</w:t>
            </w:r>
          </w:p>
        </w:tc>
        <w:tc>
          <w:tcPr>
            <w:tcW w:w="4983" w:type="dxa"/>
          </w:tcPr>
          <w:p w:rsidR="00977553" w:rsidRDefault="00977553" w:rsidP="00977553"/>
        </w:tc>
        <w:tc>
          <w:tcPr>
            <w:tcW w:w="4576" w:type="dxa"/>
          </w:tcPr>
          <w:p w:rsidR="00977553" w:rsidRDefault="00977553" w:rsidP="00977553"/>
        </w:tc>
        <w:tc>
          <w:tcPr>
            <w:tcW w:w="3261" w:type="dxa"/>
          </w:tcPr>
          <w:p w:rsidR="00977553" w:rsidRDefault="00977553" w:rsidP="00977553"/>
        </w:tc>
        <w:tc>
          <w:tcPr>
            <w:tcW w:w="1276" w:type="dxa"/>
          </w:tcPr>
          <w:p w:rsidR="00977553" w:rsidRDefault="00977553" w:rsidP="00977553"/>
        </w:tc>
      </w:tr>
    </w:tbl>
    <w:p w:rsidR="00CA50FA" w:rsidRPr="00CA50FA" w:rsidRDefault="00CA50FA" w:rsidP="00CA50FA"/>
    <w:p w:rsidR="00CA50FA" w:rsidRDefault="00CA50FA"/>
    <w:sectPr w:rsidR="00CA50FA" w:rsidSect="00CA5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37" w:rsidRDefault="00943237" w:rsidP="00BE0E34">
      <w:pPr>
        <w:spacing w:after="0" w:line="240" w:lineRule="auto"/>
      </w:pPr>
      <w:r>
        <w:separator/>
      </w:r>
    </w:p>
  </w:endnote>
  <w:endnote w:type="continuationSeparator" w:id="0">
    <w:p w:rsidR="00943237" w:rsidRDefault="00943237" w:rsidP="00BE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36" w:rsidRDefault="00E72A3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34" w:rsidRDefault="00F41A46">
    <w:pPr>
      <w:pStyle w:val="Sidfot"/>
    </w:pPr>
    <w:r>
      <w:t xml:space="preserve">Kammarkollegiet dnr </w:t>
    </w:r>
    <w:proofErr w:type="gramStart"/>
    <w:r>
      <w:t>23.5-009</w:t>
    </w:r>
    <w:r w:rsidR="00D7263A">
      <w:t>46</w:t>
    </w:r>
    <w:proofErr w:type="gramEnd"/>
    <w:r w:rsidR="00D7263A">
      <w:t>-2018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36" w:rsidRDefault="00E72A3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37" w:rsidRDefault="00943237" w:rsidP="00BE0E34">
      <w:pPr>
        <w:spacing w:after="0" w:line="240" w:lineRule="auto"/>
      </w:pPr>
      <w:r>
        <w:separator/>
      </w:r>
    </w:p>
  </w:footnote>
  <w:footnote w:type="continuationSeparator" w:id="0">
    <w:p w:rsidR="00943237" w:rsidRDefault="00943237" w:rsidP="00BE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36" w:rsidRDefault="00E72A3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36" w:rsidRDefault="00E72A3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36" w:rsidRDefault="00E72A3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9ADB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F0136"/>
    <w:multiLevelType w:val="hybridMultilevel"/>
    <w:tmpl w:val="63BA4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74C0"/>
    <w:multiLevelType w:val="hybridMultilevel"/>
    <w:tmpl w:val="65A87D5A"/>
    <w:lvl w:ilvl="0" w:tplc="FBE2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BCD"/>
    <w:multiLevelType w:val="hybridMultilevel"/>
    <w:tmpl w:val="0FD6E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4B27"/>
    <w:multiLevelType w:val="hybridMultilevel"/>
    <w:tmpl w:val="1A6A98AC"/>
    <w:lvl w:ilvl="0" w:tplc="FBE2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4FE4"/>
    <w:multiLevelType w:val="hybridMultilevel"/>
    <w:tmpl w:val="5A0AAC96"/>
    <w:lvl w:ilvl="0" w:tplc="FBE2D18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1E307EC"/>
    <w:multiLevelType w:val="hybridMultilevel"/>
    <w:tmpl w:val="532A0A5A"/>
    <w:lvl w:ilvl="0" w:tplc="FBE2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45024"/>
    <w:multiLevelType w:val="hybridMultilevel"/>
    <w:tmpl w:val="81786E74"/>
    <w:lvl w:ilvl="0" w:tplc="FBE2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266A8"/>
    <w:multiLevelType w:val="hybridMultilevel"/>
    <w:tmpl w:val="18CA7526"/>
    <w:lvl w:ilvl="0" w:tplc="FBE2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875B8"/>
    <w:multiLevelType w:val="hybridMultilevel"/>
    <w:tmpl w:val="2A9ABD24"/>
    <w:lvl w:ilvl="0" w:tplc="FBE2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92"/>
    <w:rsid w:val="0001045B"/>
    <w:rsid w:val="00010E67"/>
    <w:rsid w:val="00023F00"/>
    <w:rsid w:val="0003788D"/>
    <w:rsid w:val="000813FD"/>
    <w:rsid w:val="000A0CCA"/>
    <w:rsid w:val="000A3D9E"/>
    <w:rsid w:val="000A544A"/>
    <w:rsid w:val="000D4AED"/>
    <w:rsid w:val="00111855"/>
    <w:rsid w:val="00112B0D"/>
    <w:rsid w:val="00122A49"/>
    <w:rsid w:val="00152879"/>
    <w:rsid w:val="001709DE"/>
    <w:rsid w:val="00175A17"/>
    <w:rsid w:val="00176AAB"/>
    <w:rsid w:val="001C397E"/>
    <w:rsid w:val="001D192F"/>
    <w:rsid w:val="001E7876"/>
    <w:rsid w:val="001F4E14"/>
    <w:rsid w:val="0021592B"/>
    <w:rsid w:val="00217568"/>
    <w:rsid w:val="0028185B"/>
    <w:rsid w:val="00293235"/>
    <w:rsid w:val="0029526D"/>
    <w:rsid w:val="002A56D0"/>
    <w:rsid w:val="002F36D8"/>
    <w:rsid w:val="00301EB2"/>
    <w:rsid w:val="003274C1"/>
    <w:rsid w:val="00335748"/>
    <w:rsid w:val="00347F59"/>
    <w:rsid w:val="0039704A"/>
    <w:rsid w:val="003A33CB"/>
    <w:rsid w:val="003A7088"/>
    <w:rsid w:val="003C3DF4"/>
    <w:rsid w:val="003C79D0"/>
    <w:rsid w:val="004040BB"/>
    <w:rsid w:val="00411229"/>
    <w:rsid w:val="004664A2"/>
    <w:rsid w:val="004A4D21"/>
    <w:rsid w:val="004C27D5"/>
    <w:rsid w:val="005309C4"/>
    <w:rsid w:val="00562CF5"/>
    <w:rsid w:val="00593E84"/>
    <w:rsid w:val="005B128C"/>
    <w:rsid w:val="005E2AE9"/>
    <w:rsid w:val="005E3F84"/>
    <w:rsid w:val="005E789B"/>
    <w:rsid w:val="00644049"/>
    <w:rsid w:val="006622E9"/>
    <w:rsid w:val="006753EA"/>
    <w:rsid w:val="00676312"/>
    <w:rsid w:val="0067729B"/>
    <w:rsid w:val="006B27F0"/>
    <w:rsid w:val="006B461A"/>
    <w:rsid w:val="006D06A2"/>
    <w:rsid w:val="006E53F8"/>
    <w:rsid w:val="00721BA8"/>
    <w:rsid w:val="00754BD0"/>
    <w:rsid w:val="00760135"/>
    <w:rsid w:val="007657E2"/>
    <w:rsid w:val="007C5EF3"/>
    <w:rsid w:val="007F3679"/>
    <w:rsid w:val="00816081"/>
    <w:rsid w:val="008871A8"/>
    <w:rsid w:val="008B1813"/>
    <w:rsid w:val="008B2455"/>
    <w:rsid w:val="008D6F03"/>
    <w:rsid w:val="008E2542"/>
    <w:rsid w:val="008E48D7"/>
    <w:rsid w:val="0091341D"/>
    <w:rsid w:val="00943237"/>
    <w:rsid w:val="009560A3"/>
    <w:rsid w:val="00956360"/>
    <w:rsid w:val="009649E8"/>
    <w:rsid w:val="009729F7"/>
    <w:rsid w:val="00977553"/>
    <w:rsid w:val="009B2AA1"/>
    <w:rsid w:val="009C40C3"/>
    <w:rsid w:val="009C6522"/>
    <w:rsid w:val="009D0171"/>
    <w:rsid w:val="009F0855"/>
    <w:rsid w:val="009F7E9E"/>
    <w:rsid w:val="00A053BF"/>
    <w:rsid w:val="00A20698"/>
    <w:rsid w:val="00A67629"/>
    <w:rsid w:val="00A732A8"/>
    <w:rsid w:val="00A76ECB"/>
    <w:rsid w:val="00AA4E97"/>
    <w:rsid w:val="00B2592B"/>
    <w:rsid w:val="00B34E38"/>
    <w:rsid w:val="00B74EBE"/>
    <w:rsid w:val="00B75C69"/>
    <w:rsid w:val="00B864F0"/>
    <w:rsid w:val="00B86692"/>
    <w:rsid w:val="00BA7047"/>
    <w:rsid w:val="00BC123B"/>
    <w:rsid w:val="00BE0E34"/>
    <w:rsid w:val="00BF27E9"/>
    <w:rsid w:val="00BF74EC"/>
    <w:rsid w:val="00C034E6"/>
    <w:rsid w:val="00C17C41"/>
    <w:rsid w:val="00C33DFC"/>
    <w:rsid w:val="00C3693F"/>
    <w:rsid w:val="00C82909"/>
    <w:rsid w:val="00CA3D9D"/>
    <w:rsid w:val="00CA50FA"/>
    <w:rsid w:val="00CD62DC"/>
    <w:rsid w:val="00D1578E"/>
    <w:rsid w:val="00D2512C"/>
    <w:rsid w:val="00D4581F"/>
    <w:rsid w:val="00D5183E"/>
    <w:rsid w:val="00D63162"/>
    <w:rsid w:val="00D7263A"/>
    <w:rsid w:val="00D972DA"/>
    <w:rsid w:val="00DC5DC1"/>
    <w:rsid w:val="00DD2D9B"/>
    <w:rsid w:val="00DE50FB"/>
    <w:rsid w:val="00DE62F8"/>
    <w:rsid w:val="00DF5C3B"/>
    <w:rsid w:val="00DF7C75"/>
    <w:rsid w:val="00E01D9A"/>
    <w:rsid w:val="00E21FA0"/>
    <w:rsid w:val="00E26592"/>
    <w:rsid w:val="00E30F83"/>
    <w:rsid w:val="00E63C13"/>
    <w:rsid w:val="00E72A36"/>
    <w:rsid w:val="00E85C7B"/>
    <w:rsid w:val="00EA6346"/>
    <w:rsid w:val="00EF5DD9"/>
    <w:rsid w:val="00F1568C"/>
    <w:rsid w:val="00F41A46"/>
    <w:rsid w:val="00F61958"/>
    <w:rsid w:val="00F73ABC"/>
    <w:rsid w:val="00F74C83"/>
    <w:rsid w:val="00F75BF8"/>
    <w:rsid w:val="00FA528C"/>
    <w:rsid w:val="00FD6C9A"/>
    <w:rsid w:val="00FF12CE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128B-6DE0-41FA-9F46-A3BAA65E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A50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5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CA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E0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0E34"/>
  </w:style>
  <w:style w:type="paragraph" w:styleId="Sidfot">
    <w:name w:val="footer"/>
    <w:basedOn w:val="Normal"/>
    <w:link w:val="SidfotChar"/>
    <w:uiPriority w:val="99"/>
    <w:unhideWhenUsed/>
    <w:rsid w:val="00BE0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0E34"/>
  </w:style>
  <w:style w:type="paragraph" w:styleId="Punktlista">
    <w:name w:val="List Bullet"/>
    <w:basedOn w:val="Normal"/>
    <w:uiPriority w:val="99"/>
    <w:qFormat/>
    <w:rsid w:val="00956360"/>
    <w:pPr>
      <w:numPr>
        <w:numId w:val="1"/>
      </w:numPr>
      <w:spacing w:after="260" w:line="260" w:lineRule="atLeast"/>
      <w:contextualSpacing/>
    </w:pPr>
    <w:rPr>
      <w:rFonts w:eastAsiaTheme="minorEastAsia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04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4581F"/>
    <w:pPr>
      <w:ind w:left="720"/>
      <w:contextualSpacing/>
    </w:pPr>
  </w:style>
  <w:style w:type="paragraph" w:customStyle="1" w:styleId="Tabellnormal">
    <w:name w:val="Tabell normal"/>
    <w:basedOn w:val="Normal"/>
    <w:uiPriority w:val="18"/>
    <w:qFormat/>
    <w:rsid w:val="00754BD0"/>
    <w:pPr>
      <w:spacing w:before="40" w:after="40" w:line="200" w:lineRule="exact"/>
    </w:pPr>
    <w:rPr>
      <w:rFonts w:ascii="Arial" w:eastAsia="Times New Roman" w:hAnsi="Arial" w:cs="Times New Roman"/>
      <w:sz w:val="16"/>
      <w:szCs w:val="24"/>
      <w:lang w:eastAsia="sv-SE"/>
    </w:rPr>
  </w:style>
  <w:style w:type="paragraph" w:customStyle="1" w:styleId="Default">
    <w:name w:val="Default"/>
    <w:rsid w:val="005E3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Ringman</dc:creator>
  <cp:lastModifiedBy>Eva Ringman</cp:lastModifiedBy>
  <cp:revision>3</cp:revision>
  <cp:lastPrinted>2018-10-31T10:02:00Z</cp:lastPrinted>
  <dcterms:created xsi:type="dcterms:W3CDTF">2019-02-10T07:53:00Z</dcterms:created>
  <dcterms:modified xsi:type="dcterms:W3CDTF">2019-02-10T07:53:00Z</dcterms:modified>
</cp:coreProperties>
</file>